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7" w:rsidRPr="00E1495A" w:rsidRDefault="00093F77" w:rsidP="00642886">
      <w:pPr>
        <w:pStyle w:val="NoSpacing"/>
        <w:rPr>
          <w:rFonts w:cstheme="minorHAnsi"/>
          <w:sz w:val="22"/>
          <w:szCs w:val="22"/>
        </w:rPr>
      </w:pPr>
      <w:r w:rsidRPr="00E1495A">
        <w:rPr>
          <w:rFonts w:cstheme="minorHAnsi"/>
          <w:sz w:val="22"/>
          <w:szCs w:val="22"/>
        </w:rPr>
        <w:t xml:space="preserve">When selecting housing during </w:t>
      </w:r>
      <w:r w:rsidR="00AD264F" w:rsidRPr="00E1495A">
        <w:rPr>
          <w:rFonts w:cstheme="minorHAnsi"/>
          <w:sz w:val="22"/>
          <w:szCs w:val="22"/>
        </w:rPr>
        <w:t>Room Draw</w:t>
      </w:r>
      <w:r w:rsidRPr="00E1495A">
        <w:rPr>
          <w:rFonts w:cstheme="minorHAnsi"/>
          <w:sz w:val="22"/>
          <w:szCs w:val="22"/>
        </w:rPr>
        <w:t>, please remember:</w:t>
      </w:r>
    </w:p>
    <w:p w:rsidR="00093F77" w:rsidRPr="00E1495A" w:rsidRDefault="00093F77" w:rsidP="00642886">
      <w:pPr>
        <w:pStyle w:val="NoSpacing"/>
        <w:spacing w:after="240"/>
        <w:rPr>
          <w:rFonts w:cstheme="minorHAnsi"/>
          <w:sz w:val="22"/>
          <w:szCs w:val="22"/>
        </w:rPr>
      </w:pPr>
      <w:r w:rsidRPr="00E1495A">
        <w:rPr>
          <w:rFonts w:cstheme="minorHAnsi"/>
          <w:sz w:val="22"/>
          <w:szCs w:val="22"/>
        </w:rPr>
        <w:t xml:space="preserve">Roommate Selection and Housing Selection </w:t>
      </w:r>
      <w:proofErr w:type="gramStart"/>
      <w:r w:rsidRPr="00E1495A">
        <w:rPr>
          <w:rFonts w:cstheme="minorHAnsi"/>
          <w:sz w:val="22"/>
          <w:szCs w:val="22"/>
        </w:rPr>
        <w:t>will be done</w:t>
      </w:r>
      <w:proofErr w:type="gramEnd"/>
      <w:r w:rsidRPr="00E1495A">
        <w:rPr>
          <w:rFonts w:cstheme="minorHAnsi"/>
          <w:sz w:val="22"/>
          <w:szCs w:val="22"/>
        </w:rPr>
        <w:t xml:space="preserve"> through Eagle’s Nook. We highly recommend that you log in and get familiar with the housing software. </w:t>
      </w:r>
    </w:p>
    <w:p w:rsidR="00642886" w:rsidRPr="00E1495A" w:rsidRDefault="00093F77" w:rsidP="00642886">
      <w:pPr>
        <w:pStyle w:val="NoSpacing"/>
        <w:spacing w:after="240"/>
        <w:ind w:left="720"/>
        <w:rPr>
          <w:rFonts w:cstheme="minorHAnsi"/>
          <w:sz w:val="22"/>
          <w:szCs w:val="22"/>
        </w:rPr>
      </w:pPr>
      <w:r w:rsidRPr="00E1495A">
        <w:rPr>
          <w:rFonts w:cstheme="minorHAnsi"/>
          <w:b/>
          <w:color w:val="952498" w:themeColor="accent2" w:themeShade="BF"/>
          <w:sz w:val="22"/>
          <w:szCs w:val="22"/>
          <w:u w:val="single"/>
        </w:rPr>
        <w:t>Roommate Selection through Eagle’</w:t>
      </w:r>
      <w:r w:rsidR="00AD264F" w:rsidRPr="00E1495A">
        <w:rPr>
          <w:rFonts w:cstheme="minorHAnsi"/>
          <w:b/>
          <w:color w:val="952498" w:themeColor="accent2" w:themeShade="BF"/>
          <w:sz w:val="22"/>
          <w:szCs w:val="22"/>
          <w:u w:val="single"/>
        </w:rPr>
        <w:t>s Nook:</w:t>
      </w:r>
      <w:r w:rsidR="00AD264F" w:rsidRPr="00E1495A">
        <w:rPr>
          <w:rFonts w:cstheme="minorHAnsi"/>
          <w:sz w:val="22"/>
          <w:szCs w:val="22"/>
        </w:rPr>
        <w:t xml:space="preserve"> </w:t>
      </w:r>
      <w:r w:rsidR="00DF4D34" w:rsidRPr="00E1495A">
        <w:rPr>
          <w:rFonts w:cstheme="minorHAnsi"/>
          <w:sz w:val="22"/>
          <w:szCs w:val="22"/>
        </w:rPr>
        <w:t>You must s</w:t>
      </w:r>
      <w:r w:rsidRPr="00E1495A">
        <w:rPr>
          <w:rFonts w:cstheme="minorHAnsi"/>
          <w:sz w:val="22"/>
          <w:szCs w:val="22"/>
        </w:rPr>
        <w:t xml:space="preserve">elect your </w:t>
      </w:r>
      <w:r w:rsidR="00AD264F" w:rsidRPr="00E1495A">
        <w:rPr>
          <w:rFonts w:cstheme="minorHAnsi"/>
          <w:sz w:val="22"/>
          <w:szCs w:val="22"/>
        </w:rPr>
        <w:t xml:space="preserve">desired </w:t>
      </w:r>
      <w:r w:rsidRPr="00E1495A">
        <w:rPr>
          <w:rFonts w:cstheme="minorHAnsi"/>
          <w:sz w:val="22"/>
          <w:szCs w:val="22"/>
        </w:rPr>
        <w:t>roommate</w:t>
      </w:r>
      <w:r w:rsidR="00AD264F" w:rsidRPr="00E1495A">
        <w:rPr>
          <w:rFonts w:cstheme="minorHAnsi"/>
          <w:sz w:val="22"/>
          <w:szCs w:val="22"/>
        </w:rPr>
        <w:t>(s)</w:t>
      </w:r>
      <w:r w:rsidRPr="00E1495A">
        <w:rPr>
          <w:rFonts w:cstheme="minorHAnsi"/>
          <w:sz w:val="22"/>
          <w:szCs w:val="22"/>
        </w:rPr>
        <w:t>, or</w:t>
      </w:r>
      <w:r w:rsidR="00DF4D34" w:rsidRPr="00E1495A">
        <w:rPr>
          <w:rFonts w:cstheme="minorHAnsi"/>
          <w:sz w:val="22"/>
          <w:szCs w:val="22"/>
        </w:rPr>
        <w:t xml:space="preserve"> conduct</w:t>
      </w:r>
      <w:r w:rsidR="00AD264F" w:rsidRPr="00E1495A">
        <w:rPr>
          <w:rFonts w:cstheme="minorHAnsi"/>
          <w:sz w:val="22"/>
          <w:szCs w:val="22"/>
        </w:rPr>
        <w:t xml:space="preserve"> a</w:t>
      </w:r>
      <w:r w:rsidRPr="00E1495A">
        <w:rPr>
          <w:rFonts w:cstheme="minorHAnsi"/>
          <w:sz w:val="22"/>
          <w:szCs w:val="22"/>
        </w:rPr>
        <w:t xml:space="preserve"> search for potential roommate(s).</w:t>
      </w:r>
      <w:r w:rsidR="001E00B8" w:rsidRPr="00E1495A">
        <w:rPr>
          <w:rFonts w:cstheme="minorHAnsi"/>
          <w:sz w:val="22"/>
          <w:szCs w:val="22"/>
        </w:rPr>
        <w:t xml:space="preserve"> We will use the average of all individual priority numbers to determine a group lottery number for groups of three or more. All other processes will use the best priority number (closest to zero) to determine selection order.</w:t>
      </w:r>
    </w:p>
    <w:p w:rsidR="00093F77" w:rsidRPr="00E1495A" w:rsidRDefault="00AD264F" w:rsidP="00642886">
      <w:pPr>
        <w:pStyle w:val="NoSpacing"/>
        <w:ind w:left="720"/>
        <w:rPr>
          <w:rFonts w:cstheme="minorHAnsi"/>
          <w:sz w:val="22"/>
          <w:szCs w:val="22"/>
        </w:rPr>
      </w:pPr>
      <w:r w:rsidRPr="00E1495A">
        <w:rPr>
          <w:rFonts w:cstheme="minorHAnsi"/>
          <w:b/>
          <w:color w:val="1A4BC7" w:themeColor="accent4" w:themeShade="BF"/>
          <w:sz w:val="22"/>
          <w:szCs w:val="22"/>
          <w:u w:val="single"/>
        </w:rPr>
        <w:t>Room Draw</w:t>
      </w:r>
      <w:r w:rsidR="00093F77" w:rsidRPr="00E1495A">
        <w:rPr>
          <w:rFonts w:cstheme="minorHAnsi"/>
          <w:b/>
          <w:color w:val="1A4BC7" w:themeColor="accent4" w:themeShade="BF"/>
          <w:sz w:val="22"/>
          <w:szCs w:val="22"/>
          <w:u w:val="single"/>
        </w:rPr>
        <w:t xml:space="preserve"> through Eagle’s Nook</w:t>
      </w:r>
      <w:r w:rsidRPr="00E1495A">
        <w:rPr>
          <w:rFonts w:cstheme="minorHAnsi"/>
          <w:b/>
          <w:color w:val="1A4BC7" w:themeColor="accent4" w:themeShade="BF"/>
          <w:sz w:val="22"/>
          <w:szCs w:val="22"/>
          <w:u w:val="single"/>
        </w:rPr>
        <w:t>:</w:t>
      </w:r>
      <w:r w:rsidR="00093F77" w:rsidRPr="00E1495A">
        <w:rPr>
          <w:rFonts w:cstheme="minorHAnsi"/>
          <w:sz w:val="22"/>
          <w:szCs w:val="22"/>
        </w:rPr>
        <w:t xml:space="preserve"> Once you have requested </w:t>
      </w:r>
      <w:r w:rsidRPr="00E1495A">
        <w:rPr>
          <w:rFonts w:cstheme="minorHAnsi"/>
          <w:sz w:val="22"/>
          <w:szCs w:val="22"/>
        </w:rPr>
        <w:t>y</w:t>
      </w:r>
      <w:r w:rsidR="00093F77" w:rsidRPr="00E1495A">
        <w:rPr>
          <w:rFonts w:cstheme="minorHAnsi"/>
          <w:sz w:val="22"/>
          <w:szCs w:val="22"/>
        </w:rPr>
        <w:t>our roommate</w:t>
      </w:r>
      <w:r w:rsidRPr="00E1495A">
        <w:rPr>
          <w:rFonts w:cstheme="minorHAnsi"/>
          <w:sz w:val="22"/>
          <w:szCs w:val="22"/>
        </w:rPr>
        <w:t>(s)</w:t>
      </w:r>
      <w:r w:rsidR="00093F77" w:rsidRPr="00E1495A">
        <w:rPr>
          <w:rFonts w:cstheme="minorHAnsi"/>
          <w:sz w:val="22"/>
          <w:szCs w:val="22"/>
        </w:rPr>
        <w:t>, and it is an even match (all roommates must request and accept each other if you are interested in multiple housing)</w:t>
      </w:r>
      <w:r w:rsidRPr="00E1495A">
        <w:rPr>
          <w:rFonts w:cstheme="minorHAnsi"/>
          <w:sz w:val="22"/>
          <w:szCs w:val="22"/>
        </w:rPr>
        <w:t>,</w:t>
      </w:r>
      <w:r w:rsidR="00093F77" w:rsidRPr="00E1495A">
        <w:rPr>
          <w:rFonts w:cstheme="minorHAnsi"/>
          <w:sz w:val="22"/>
          <w:szCs w:val="22"/>
        </w:rPr>
        <w:t xml:space="preserve"> </w:t>
      </w:r>
      <w:r w:rsidRPr="00E1495A">
        <w:rPr>
          <w:rFonts w:cstheme="minorHAnsi"/>
          <w:sz w:val="22"/>
          <w:szCs w:val="22"/>
        </w:rPr>
        <w:t>y</w:t>
      </w:r>
      <w:r w:rsidR="00093F77" w:rsidRPr="00E1495A">
        <w:rPr>
          <w:rFonts w:cstheme="minorHAnsi"/>
          <w:sz w:val="22"/>
          <w:szCs w:val="22"/>
        </w:rPr>
        <w:t xml:space="preserve">ou will apply for one of the three housing selection processes. You may apply to more than one </w:t>
      </w:r>
      <w:r w:rsidRPr="00E1495A">
        <w:rPr>
          <w:rFonts w:cstheme="minorHAnsi"/>
          <w:sz w:val="22"/>
          <w:szCs w:val="22"/>
        </w:rPr>
        <w:t xml:space="preserve">selection </w:t>
      </w:r>
      <w:r w:rsidR="00093F77" w:rsidRPr="00E1495A">
        <w:rPr>
          <w:rFonts w:cstheme="minorHAnsi"/>
          <w:sz w:val="22"/>
          <w:szCs w:val="22"/>
        </w:rPr>
        <w:t xml:space="preserve">process but once housing </w:t>
      </w:r>
      <w:proofErr w:type="gramStart"/>
      <w:r w:rsidR="00093F77" w:rsidRPr="00E1495A">
        <w:rPr>
          <w:rFonts w:cstheme="minorHAnsi"/>
          <w:sz w:val="22"/>
          <w:szCs w:val="22"/>
        </w:rPr>
        <w:t>is selected</w:t>
      </w:r>
      <w:proofErr w:type="gramEnd"/>
      <w:r w:rsidR="00093F77" w:rsidRPr="00E1495A">
        <w:rPr>
          <w:rFonts w:cstheme="minorHAnsi"/>
          <w:sz w:val="22"/>
          <w:szCs w:val="22"/>
        </w:rPr>
        <w:t>, you will be removed from all other selection</w:t>
      </w:r>
      <w:r w:rsidR="001E00B8" w:rsidRPr="00E1495A">
        <w:rPr>
          <w:rFonts w:cstheme="minorHAnsi"/>
          <w:sz w:val="22"/>
          <w:szCs w:val="22"/>
        </w:rPr>
        <w:t xml:space="preserve"> processes</w:t>
      </w:r>
      <w:r w:rsidR="00093F77" w:rsidRPr="00E1495A">
        <w:rPr>
          <w:rFonts w:cstheme="minorHAnsi"/>
          <w:sz w:val="22"/>
          <w:szCs w:val="22"/>
        </w:rPr>
        <w:t xml:space="preserve">. </w:t>
      </w:r>
    </w:p>
    <w:p w:rsidR="00DF4D34" w:rsidRPr="00E1495A" w:rsidRDefault="00DF4D34" w:rsidP="00642886">
      <w:pPr>
        <w:spacing w:after="0"/>
        <w:rPr>
          <w:rFonts w:cstheme="minorHAnsi"/>
          <w:color w:val="C00000"/>
          <w:sz w:val="22"/>
          <w:szCs w:val="22"/>
        </w:rPr>
      </w:pPr>
    </w:p>
    <w:p w:rsidR="001E00B8" w:rsidRPr="00E1495A" w:rsidRDefault="001E00B8" w:rsidP="00642886">
      <w:pPr>
        <w:spacing w:after="0"/>
        <w:rPr>
          <w:rFonts w:cstheme="minorHAnsi"/>
          <w:b/>
          <w:color w:val="AD2750" w:themeColor="accent6" w:themeShade="BF"/>
          <w:sz w:val="22"/>
          <w:szCs w:val="22"/>
        </w:rPr>
      </w:pPr>
      <w:r w:rsidRPr="00E1495A">
        <w:rPr>
          <w:rFonts w:cstheme="minorHAnsi"/>
          <w:b/>
          <w:color w:val="AD2750" w:themeColor="accent6" w:themeShade="BF"/>
          <w:sz w:val="22"/>
          <w:szCs w:val="22"/>
        </w:rPr>
        <w:t>PLEASE NOTE:</w:t>
      </w:r>
    </w:p>
    <w:p w:rsidR="00093F77" w:rsidRPr="00E1495A" w:rsidRDefault="00093F77" w:rsidP="00E1495A">
      <w:pPr>
        <w:pStyle w:val="NoSpacing"/>
        <w:numPr>
          <w:ilvl w:val="0"/>
          <w:numId w:val="1"/>
        </w:numPr>
      </w:pPr>
      <w:r w:rsidRPr="00E1495A">
        <w:t xml:space="preserve">Applications for international roommates and The Global Village will </w:t>
      </w:r>
      <w:r w:rsidR="00D00D2B" w:rsidRPr="00E1495A">
        <w:t>also be available on Eagles Nook</w:t>
      </w:r>
      <w:r w:rsidRPr="00E1495A">
        <w:t>.</w:t>
      </w:r>
    </w:p>
    <w:p w:rsidR="00093F77" w:rsidRPr="00E1495A" w:rsidRDefault="00093F77" w:rsidP="00E1495A">
      <w:pPr>
        <w:pStyle w:val="NoSpacing"/>
        <w:numPr>
          <w:ilvl w:val="0"/>
          <w:numId w:val="1"/>
        </w:numPr>
      </w:pPr>
      <w:r w:rsidRPr="00E1495A">
        <w:t xml:space="preserve">All roommates must request/accept one another on Eagles Nook. Check to </w:t>
      </w:r>
      <w:r w:rsidR="00C74F36" w:rsidRPr="00E1495A">
        <w:t>make</w:t>
      </w:r>
      <w:r w:rsidRPr="00E1495A">
        <w:t xml:space="preserve"> sure everyone in your </w:t>
      </w:r>
      <w:r w:rsidR="00C74F36" w:rsidRPr="00E1495A">
        <w:t xml:space="preserve">group </w:t>
      </w:r>
      <w:r w:rsidRPr="00E1495A">
        <w:t xml:space="preserve">as </w:t>
      </w:r>
      <w:r w:rsidR="00C74F36" w:rsidRPr="00E1495A">
        <w:t>completed</w:t>
      </w:r>
      <w:r w:rsidRPr="00E1495A">
        <w:t xml:space="preserve"> the process. </w:t>
      </w:r>
    </w:p>
    <w:p w:rsidR="00093F77" w:rsidRPr="00E1495A" w:rsidRDefault="00093F77" w:rsidP="00E1495A">
      <w:pPr>
        <w:pStyle w:val="NoSpacing"/>
        <w:numPr>
          <w:ilvl w:val="0"/>
          <w:numId w:val="1"/>
        </w:numPr>
      </w:pPr>
      <w:r w:rsidRPr="00E1495A">
        <w:t xml:space="preserve">Please review the updated Gender Inclusive Housing policy in the Pathfinder. </w:t>
      </w:r>
    </w:p>
    <w:p w:rsidR="00D00D2B" w:rsidRPr="00E1495A" w:rsidRDefault="00093F77" w:rsidP="00E1495A">
      <w:pPr>
        <w:pStyle w:val="NoSpacing"/>
        <w:numPr>
          <w:ilvl w:val="0"/>
          <w:numId w:val="1"/>
        </w:numPr>
      </w:pPr>
      <w:r w:rsidRPr="00E1495A">
        <w:t xml:space="preserve">All multiple rooms </w:t>
      </w:r>
      <w:proofErr w:type="gramStart"/>
      <w:r w:rsidRPr="00E1495A">
        <w:t>must be filled</w:t>
      </w:r>
      <w:proofErr w:type="gramEnd"/>
      <w:r w:rsidRPr="00E1495A">
        <w:t xml:space="preserve"> to capacity during </w:t>
      </w:r>
      <w:r w:rsidR="00BF13ED" w:rsidRPr="00E1495A">
        <w:t xml:space="preserve">multiple </w:t>
      </w:r>
      <w:r w:rsidRPr="00E1495A">
        <w:t xml:space="preserve">selection. </w:t>
      </w:r>
    </w:p>
    <w:p w:rsidR="00093F77" w:rsidRPr="00E1495A" w:rsidRDefault="00D00D2B" w:rsidP="00E1495A">
      <w:pPr>
        <w:pStyle w:val="NoSpacing"/>
        <w:numPr>
          <w:ilvl w:val="0"/>
          <w:numId w:val="1"/>
        </w:numPr>
      </w:pPr>
      <w:r w:rsidRPr="00E1495A">
        <w:t xml:space="preserve">Info sessions </w:t>
      </w:r>
      <w:proofErr w:type="gramStart"/>
      <w:r w:rsidRPr="00E1495A">
        <w:t>will be held</w:t>
      </w:r>
      <w:proofErr w:type="gramEnd"/>
      <w:r w:rsidRPr="00E1495A">
        <w:t xml:space="preserve"> March 15 and March 21 at 9:30 in Neff Lecture Hall.</w:t>
      </w:r>
      <w:r w:rsidR="00642886" w:rsidRPr="00E1495A">
        <w:tab/>
      </w:r>
    </w:p>
    <w:p w:rsidR="00093F77" w:rsidRPr="00E1495A" w:rsidRDefault="00093F77" w:rsidP="00E1495A">
      <w:pPr>
        <w:pStyle w:val="NoSpacing"/>
        <w:numPr>
          <w:ilvl w:val="0"/>
          <w:numId w:val="1"/>
        </w:numPr>
      </w:pPr>
      <w:r w:rsidRPr="00E1495A">
        <w:t>If you do not have a roommate, please plan to attend a roommate mixer on</w:t>
      </w:r>
      <w:r w:rsidRPr="00E1495A">
        <w:rPr>
          <w:b/>
        </w:rPr>
        <w:t xml:space="preserve"> March 29</w:t>
      </w:r>
      <w:r w:rsidRPr="00E1495A">
        <w:t xml:space="preserve"> </w:t>
      </w:r>
      <w:r w:rsidR="00BF13ED" w:rsidRPr="00E1495A">
        <w:t>and</w:t>
      </w:r>
      <w:r w:rsidRPr="00E1495A">
        <w:rPr>
          <w:b/>
        </w:rPr>
        <w:t xml:space="preserve"> April 4</w:t>
      </w:r>
      <w:r w:rsidR="00BF13ED" w:rsidRPr="00E1495A">
        <w:t>,</w:t>
      </w:r>
      <w:r w:rsidRPr="00E1495A">
        <w:t xml:space="preserve"> or check out </w:t>
      </w:r>
      <w:r w:rsidR="00BF13ED" w:rsidRPr="00E1495A">
        <w:t xml:space="preserve">the </w:t>
      </w:r>
      <w:r w:rsidRPr="00E1495A">
        <w:t xml:space="preserve">roommate search </w:t>
      </w:r>
      <w:r w:rsidR="00BF13ED" w:rsidRPr="00E1495A">
        <w:t>feature in</w:t>
      </w:r>
      <w:r w:rsidRPr="00E1495A">
        <w:t xml:space="preserve"> Eagle’s Nook.</w:t>
      </w:r>
    </w:p>
    <w:p w:rsidR="00093F77" w:rsidRPr="00E1495A" w:rsidRDefault="00093F77" w:rsidP="00E1495A">
      <w:pPr>
        <w:pStyle w:val="NoSpacing"/>
        <w:numPr>
          <w:ilvl w:val="0"/>
          <w:numId w:val="1"/>
        </w:numPr>
      </w:pPr>
      <w:r w:rsidRPr="00E1495A">
        <w:t xml:space="preserve">If you are not returning to Juniata for the </w:t>
      </w:r>
      <w:r w:rsidR="00642886" w:rsidRPr="00E1495A">
        <w:t>20</w:t>
      </w:r>
      <w:r w:rsidRPr="00E1495A">
        <w:t>18-19 semesters, please contact the Dean of Students Office. Do not select a room.</w:t>
      </w:r>
    </w:p>
    <w:p w:rsidR="00BF13ED" w:rsidRPr="00E1495A" w:rsidRDefault="00BF13ED" w:rsidP="00642886">
      <w:pPr>
        <w:pStyle w:val="Heading2"/>
        <w:rPr>
          <w:rFonts w:asciiTheme="minorHAnsi" w:hAnsiTheme="minorHAnsi" w:cstheme="minorHAnsi"/>
          <w:b/>
          <w:color w:val="AD2750" w:themeColor="accent6" w:themeShade="BF"/>
        </w:rPr>
      </w:pPr>
      <w:r w:rsidRPr="00E1495A">
        <w:rPr>
          <w:rFonts w:asciiTheme="minorHAnsi" w:hAnsiTheme="minorHAnsi" w:cstheme="minorHAnsi"/>
          <w:b/>
          <w:color w:val="AD2750" w:themeColor="accent6" w:themeShade="BF"/>
        </w:rPr>
        <w:t>IMPORTANT DATES</w:t>
      </w:r>
    </w:p>
    <w:tbl>
      <w:tblPr>
        <w:tblW w:w="9993" w:type="dxa"/>
        <w:tblLook w:val="04A0" w:firstRow="1" w:lastRow="0" w:firstColumn="1" w:lastColumn="0" w:noHBand="0" w:noVBand="1"/>
      </w:tblPr>
      <w:tblGrid>
        <w:gridCol w:w="1181"/>
        <w:gridCol w:w="376"/>
        <w:gridCol w:w="8460"/>
      </w:tblGrid>
      <w:tr w:rsidR="00723F50" w:rsidRPr="00E1495A" w:rsidTr="00BF13ED">
        <w:trPr>
          <w:trHeight w:val="324"/>
        </w:trPr>
        <w:tc>
          <w:tcPr>
            <w:tcW w:w="1181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February</w:t>
            </w:r>
          </w:p>
        </w:tc>
        <w:tc>
          <w:tcPr>
            <w:tcW w:w="35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460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Priority numbers will be issued  to all students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International Roommate Application opens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Global Village Application opens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Reasonable Housing Accommodation Deadline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March</w:t>
            </w:r>
          </w:p>
        </w:tc>
        <w:tc>
          <w:tcPr>
            <w:tcW w:w="35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460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  <w:i/>
                <w:iCs/>
                <w:color w:val="952498" w:themeColor="accent2" w:themeShade="BF"/>
              </w:rPr>
              <w:t>Roommate Selection</w:t>
            </w:r>
            <w:r w:rsidRPr="00E1495A">
              <w:rPr>
                <w:rFonts w:eastAsia="Times New Roman"/>
                <w:color w:val="C00000"/>
              </w:rPr>
              <w:t xml:space="preserve"> </w:t>
            </w:r>
            <w:r w:rsidRPr="00E1495A">
              <w:rPr>
                <w:rFonts w:eastAsia="Times New Roman"/>
                <w:color w:val="952498" w:themeColor="accent2" w:themeShade="BF"/>
              </w:rPr>
              <w:t>process opens for all students</w:t>
            </w:r>
          </w:p>
        </w:tc>
      </w:tr>
      <w:tr w:rsidR="00723F50" w:rsidRPr="00E1495A" w:rsidTr="00BF13ED">
        <w:trPr>
          <w:trHeight w:val="588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 xml:space="preserve">Decisions </w:t>
            </w:r>
            <w:proofErr w:type="gramStart"/>
            <w:r w:rsidRPr="00E1495A">
              <w:rPr>
                <w:rFonts w:eastAsia="Times New Roman"/>
              </w:rPr>
              <w:t>will be communicated</w:t>
            </w:r>
            <w:proofErr w:type="gramEnd"/>
            <w:r w:rsidRPr="00E1495A">
              <w:rPr>
                <w:rFonts w:eastAsia="Times New Roman"/>
              </w:rPr>
              <w:t xml:space="preserve"> for Reasonable Housing Accommodation requests that were submitted by the deadline.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International Roommate Deadline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Global Village Deadline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DF4D34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Room Draw</w:t>
            </w:r>
            <w:r w:rsidR="00723F50" w:rsidRPr="00E1495A">
              <w:rPr>
                <w:rFonts w:eastAsia="Times New Roman"/>
              </w:rPr>
              <w:t xml:space="preserve"> Information Session # 1  (Time TBD)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Roommate Mixer #1  (Time TBD)</w:t>
            </w:r>
          </w:p>
        </w:tc>
      </w:tr>
      <w:tr w:rsidR="00723F50" w:rsidRPr="00E1495A" w:rsidTr="00642886">
        <w:trPr>
          <w:trHeight w:val="324"/>
        </w:trPr>
        <w:tc>
          <w:tcPr>
            <w:tcW w:w="1181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April</w:t>
            </w:r>
          </w:p>
        </w:tc>
        <w:tc>
          <w:tcPr>
            <w:tcW w:w="35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460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DF4D34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Room Draw</w:t>
            </w:r>
            <w:r w:rsidR="00723F50" w:rsidRPr="00E1495A">
              <w:rPr>
                <w:rFonts w:eastAsia="Times New Roman"/>
              </w:rPr>
              <w:t xml:space="preserve"> Information Session # 2  (Time TBD)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Roommate Mixer #2  (Time TBD)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  <w:color w:val="952498" w:themeColor="accent2" w:themeShade="BF"/>
              </w:rPr>
              <w:t>Roommate Selection Process Closes</w:t>
            </w:r>
          </w:p>
        </w:tc>
      </w:tr>
      <w:tr w:rsidR="00DF4D34" w:rsidRPr="00E1495A" w:rsidTr="00DF4D34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34" w:rsidRPr="00E1495A" w:rsidRDefault="00DF4D34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 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DF4D34" w:rsidRPr="00E1495A" w:rsidRDefault="00DF4D34" w:rsidP="00E1495A">
            <w:pPr>
              <w:pStyle w:val="NoSpacing"/>
              <w:rPr>
                <w:rFonts w:eastAsia="Times New Roman"/>
                <w:color w:val="1A4BC7" w:themeColor="accent4" w:themeShade="BF"/>
              </w:rPr>
            </w:pPr>
            <w:r w:rsidRPr="00E1495A">
              <w:rPr>
                <w:rFonts w:eastAsia="Times New Roman"/>
                <w:i/>
                <w:iCs/>
                <w:color w:val="1A4BC7" w:themeColor="accent4" w:themeShade="BF"/>
              </w:rPr>
              <w:t xml:space="preserve">Room Draw: (Each process </w:t>
            </w:r>
            <w:proofErr w:type="gramStart"/>
            <w:r w:rsidRPr="00E1495A">
              <w:rPr>
                <w:rFonts w:eastAsia="Times New Roman"/>
                <w:i/>
                <w:iCs/>
                <w:color w:val="1A4BC7" w:themeColor="accent4" w:themeShade="BF"/>
              </w:rPr>
              <w:t>will be conducted</w:t>
            </w:r>
            <w:proofErr w:type="gramEnd"/>
            <w:r w:rsidRPr="00E1495A">
              <w:rPr>
                <w:rFonts w:eastAsia="Times New Roman"/>
                <w:i/>
                <w:iCs/>
                <w:color w:val="1A4BC7" w:themeColor="accent4" w:themeShade="BF"/>
              </w:rPr>
              <w:t>, through Eagle’s Nook, between the following dates.)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9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-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642886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Multiple selection (triples, quads, East suites,</w:t>
            </w:r>
            <w:r w:rsidR="00723F50" w:rsidRPr="00E1495A">
              <w:rPr>
                <w:rFonts w:eastAsia="Times New Roman"/>
              </w:rPr>
              <w:t xml:space="preserve"> houses</w:t>
            </w:r>
            <w:r w:rsidRPr="00E1495A">
              <w:rPr>
                <w:rFonts w:eastAsia="Times New Roman"/>
              </w:rPr>
              <w:t>,</w:t>
            </w:r>
            <w:r w:rsidR="00723F50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 xml:space="preserve">and </w:t>
            </w:r>
            <w:r w:rsidR="00723F50" w:rsidRPr="00E1495A">
              <w:rPr>
                <w:rFonts w:eastAsia="Times New Roman"/>
              </w:rPr>
              <w:t>apartments</w:t>
            </w:r>
            <w:r w:rsidRPr="00E1495A">
              <w:rPr>
                <w:rFonts w:eastAsia="Times New Roman"/>
              </w:rPr>
              <w:t>)</w:t>
            </w:r>
          </w:p>
        </w:tc>
      </w:tr>
      <w:tr w:rsidR="00723F50" w:rsidRPr="00E1495A" w:rsidTr="00BF13ED">
        <w:trPr>
          <w:trHeight w:val="324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13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-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Single room selection</w:t>
            </w:r>
          </w:p>
        </w:tc>
      </w:tr>
      <w:tr w:rsidR="00723F50" w:rsidRPr="00E1495A" w:rsidTr="00BF13ED">
        <w:trPr>
          <w:trHeight w:val="107"/>
        </w:trPr>
        <w:tc>
          <w:tcPr>
            <w:tcW w:w="1181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17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-</w:t>
            </w:r>
            <w:r w:rsidR="00BF13ED" w:rsidRPr="00E1495A">
              <w:rPr>
                <w:rFonts w:eastAsia="Times New Roman"/>
              </w:rPr>
              <w:t xml:space="preserve"> </w:t>
            </w:r>
            <w:r w:rsidRPr="00E1495A">
              <w:rPr>
                <w:rFonts w:eastAsia="Times New Roman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32"/>
                <w:szCs w:val="32"/>
              </w:rPr>
            </w:pPr>
            <w:r w:rsidRPr="00E1495A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  <w:r w:rsidRPr="00E1495A">
              <w:rPr>
                <w:rFonts w:eastAsia="Times New Roman"/>
              </w:rPr>
              <w:t>Double rooms</w:t>
            </w:r>
          </w:p>
        </w:tc>
      </w:tr>
      <w:tr w:rsidR="00723F50" w:rsidRPr="00E1495A" w:rsidTr="00BF13ED">
        <w:trPr>
          <w:trHeight w:val="240"/>
        </w:trPr>
        <w:tc>
          <w:tcPr>
            <w:tcW w:w="118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723F50" w:rsidRPr="00E1495A" w:rsidRDefault="00723F50" w:rsidP="00E1495A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2886" w:rsidRPr="00E1495A" w:rsidRDefault="00642886" w:rsidP="00E1495A">
      <w:pPr>
        <w:pStyle w:val="NoSpacing"/>
        <w:rPr>
          <w:sz w:val="22"/>
        </w:rPr>
      </w:pPr>
      <w:r w:rsidRPr="00E1495A">
        <w:rPr>
          <w:color w:val="AD2750" w:themeColor="accent6" w:themeShade="BF"/>
          <w:sz w:val="22"/>
        </w:rPr>
        <w:t xml:space="preserve">Additional information </w:t>
      </w:r>
      <w:r w:rsidR="00DF4D34" w:rsidRPr="00E1495A">
        <w:rPr>
          <w:color w:val="AD2750" w:themeColor="accent6" w:themeShade="BF"/>
          <w:sz w:val="22"/>
        </w:rPr>
        <w:t xml:space="preserve">and instructions </w:t>
      </w:r>
      <w:proofErr w:type="gramStart"/>
      <w:r w:rsidRPr="00E1495A">
        <w:rPr>
          <w:color w:val="AD2750" w:themeColor="accent6" w:themeShade="BF"/>
          <w:sz w:val="22"/>
        </w:rPr>
        <w:t xml:space="preserve">will be </w:t>
      </w:r>
      <w:r w:rsidR="00DF4D34" w:rsidRPr="00E1495A">
        <w:rPr>
          <w:color w:val="AD2750" w:themeColor="accent6" w:themeShade="BF"/>
          <w:sz w:val="22"/>
        </w:rPr>
        <w:t>shared</w:t>
      </w:r>
      <w:proofErr w:type="gramEnd"/>
      <w:r w:rsidRPr="00E1495A">
        <w:rPr>
          <w:color w:val="AD2750" w:themeColor="accent6" w:themeShade="BF"/>
          <w:sz w:val="22"/>
        </w:rPr>
        <w:t xml:space="preserve"> as we get clos</w:t>
      </w:r>
      <w:r w:rsidR="00DF4D34" w:rsidRPr="00E1495A">
        <w:rPr>
          <w:color w:val="AD2750" w:themeColor="accent6" w:themeShade="BF"/>
          <w:sz w:val="22"/>
        </w:rPr>
        <w:t>er</w:t>
      </w:r>
      <w:r w:rsidRPr="00E1495A">
        <w:rPr>
          <w:color w:val="AD2750" w:themeColor="accent6" w:themeShade="BF"/>
          <w:sz w:val="22"/>
        </w:rPr>
        <w:t xml:space="preserve"> the each </w:t>
      </w:r>
      <w:r w:rsidR="00DF4D34" w:rsidRPr="00E1495A">
        <w:rPr>
          <w:color w:val="AD2750" w:themeColor="accent6" w:themeShade="BF"/>
          <w:sz w:val="22"/>
        </w:rPr>
        <w:t>of the above dates. If you have any questions, stop by the Office of Residential Life or email</w:t>
      </w:r>
      <w:r w:rsidR="00DF4D34" w:rsidRPr="00E1495A">
        <w:rPr>
          <w:sz w:val="22"/>
        </w:rPr>
        <w:t xml:space="preserve"> </w:t>
      </w:r>
      <w:hyperlink r:id="rId8" w:history="1">
        <w:r w:rsidR="00DF4D34" w:rsidRPr="00E1495A">
          <w:rPr>
            <w:rStyle w:val="Hyperlink"/>
            <w:rFonts w:cstheme="minorHAnsi"/>
            <w:b/>
            <w:sz w:val="22"/>
          </w:rPr>
          <w:t>residentiallife@juniata.edu</w:t>
        </w:r>
      </w:hyperlink>
      <w:r w:rsidR="00DF4D34" w:rsidRPr="00E1495A">
        <w:rPr>
          <w:sz w:val="22"/>
        </w:rPr>
        <w:t>.</w:t>
      </w:r>
    </w:p>
    <w:p w:rsidR="00FF6F50" w:rsidRPr="00C74F36" w:rsidRDefault="00FF6F50" w:rsidP="00DF4D34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977735" cy="676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 Lif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28" cy="70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F50" w:rsidRPr="00C74F36" w:rsidSect="00E1495A">
      <w:headerReference w:type="default" r:id="rId10"/>
      <w:pgSz w:w="12240" w:h="20160" w:code="5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1F" w:rsidRDefault="00994F1F" w:rsidP="00093F77">
      <w:pPr>
        <w:spacing w:after="0" w:line="240" w:lineRule="auto"/>
      </w:pPr>
      <w:r>
        <w:separator/>
      </w:r>
    </w:p>
  </w:endnote>
  <w:endnote w:type="continuationSeparator" w:id="0">
    <w:p w:rsidR="00994F1F" w:rsidRDefault="00994F1F" w:rsidP="0009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1F" w:rsidRDefault="00994F1F" w:rsidP="00093F77">
      <w:pPr>
        <w:spacing w:after="0" w:line="240" w:lineRule="auto"/>
      </w:pPr>
      <w:r>
        <w:separator/>
      </w:r>
    </w:p>
  </w:footnote>
  <w:footnote w:type="continuationSeparator" w:id="0">
    <w:p w:rsidR="00994F1F" w:rsidRDefault="00994F1F" w:rsidP="0009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77" w:rsidRPr="00C74F36" w:rsidRDefault="00093F77" w:rsidP="00642886">
    <w:pPr>
      <w:pStyle w:val="Title"/>
      <w:spacing w:after="0"/>
      <w:rPr>
        <w:b/>
        <w:color w:val="18567C" w:themeColor="accent3" w:themeShade="80"/>
        <w:sz w:val="32"/>
      </w:rPr>
    </w:pPr>
    <w:r w:rsidRPr="00C74F36">
      <w:rPr>
        <w:b/>
        <w:color w:val="18567C" w:themeColor="accent3" w:themeShade="80"/>
        <w:sz w:val="32"/>
      </w:rPr>
      <w:t>Housing Selection</w:t>
    </w:r>
    <w:r w:rsidR="00642886" w:rsidRPr="00C74F36">
      <w:rPr>
        <w:b/>
        <w:color w:val="18567C" w:themeColor="accent3" w:themeShade="80"/>
        <w:sz w:val="32"/>
      </w:rPr>
      <w:t xml:space="preserve"> </w:t>
    </w:r>
    <w:r w:rsidRPr="00C74F36">
      <w:rPr>
        <w:b/>
        <w:color w:val="18567C" w:themeColor="accent3" w:themeShade="80"/>
        <w:sz w:val="32"/>
      </w:rPr>
      <w:t>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6DF"/>
    <w:multiLevelType w:val="hybridMultilevel"/>
    <w:tmpl w:val="44D6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50"/>
    <w:rsid w:val="00093F77"/>
    <w:rsid w:val="00133E8C"/>
    <w:rsid w:val="001E00B8"/>
    <w:rsid w:val="00642886"/>
    <w:rsid w:val="006921ED"/>
    <w:rsid w:val="00723F50"/>
    <w:rsid w:val="007B5F5D"/>
    <w:rsid w:val="00994F1F"/>
    <w:rsid w:val="00AD264F"/>
    <w:rsid w:val="00AF783B"/>
    <w:rsid w:val="00BF13ED"/>
    <w:rsid w:val="00C74F36"/>
    <w:rsid w:val="00D00D2B"/>
    <w:rsid w:val="00DF4D34"/>
    <w:rsid w:val="00E1495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FA3C"/>
  <w15:chartTrackingRefBased/>
  <w15:docId w15:val="{F9D47EE2-ADB5-49E0-A480-4D11353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86"/>
  </w:style>
  <w:style w:type="paragraph" w:styleId="Heading1">
    <w:name w:val="heading 1"/>
    <w:basedOn w:val="Normal"/>
    <w:next w:val="Normal"/>
    <w:link w:val="Heading1Char"/>
    <w:uiPriority w:val="9"/>
    <w:qFormat/>
    <w:rsid w:val="0064288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8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88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8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8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77"/>
  </w:style>
  <w:style w:type="paragraph" w:styleId="Footer">
    <w:name w:val="footer"/>
    <w:basedOn w:val="Normal"/>
    <w:link w:val="FooterChar"/>
    <w:uiPriority w:val="99"/>
    <w:unhideWhenUsed/>
    <w:rsid w:val="0009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77"/>
  </w:style>
  <w:style w:type="character" w:styleId="Hyperlink">
    <w:name w:val="Hyperlink"/>
    <w:basedOn w:val="DefaultParagraphFont"/>
    <w:uiPriority w:val="99"/>
    <w:unhideWhenUsed/>
    <w:rsid w:val="00BF13ED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886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28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8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88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88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88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8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8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88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88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2886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2886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886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886"/>
    <w:rPr>
      <w:color w:val="4545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2886"/>
    <w:rPr>
      <w:b/>
      <w:bCs/>
    </w:rPr>
  </w:style>
  <w:style w:type="character" w:styleId="Emphasis">
    <w:name w:val="Emphasis"/>
    <w:basedOn w:val="DefaultParagraphFont"/>
    <w:uiPriority w:val="20"/>
    <w:qFormat/>
    <w:rsid w:val="00642886"/>
    <w:rPr>
      <w:i/>
      <w:iCs/>
      <w:color w:val="000000" w:themeColor="text1"/>
    </w:rPr>
  </w:style>
  <w:style w:type="paragraph" w:styleId="NoSpacing">
    <w:name w:val="No Spacing"/>
    <w:uiPriority w:val="1"/>
    <w:qFormat/>
    <w:rsid w:val="006428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2886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2886"/>
    <w:rPr>
      <w:i/>
      <w:iCs/>
      <w:color w:val="2581B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88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886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28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28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288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288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288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iallife@junia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23F9-4D47-4C41-9A7A-B214C4FC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Hooper-Conway, Penny (conwayp)</dc:creator>
  <cp:keywords/>
  <dc:description/>
  <cp:lastModifiedBy>Hooper-Conway, Penny (conwayp)</cp:lastModifiedBy>
  <cp:revision>5</cp:revision>
  <dcterms:created xsi:type="dcterms:W3CDTF">2017-11-27T16:14:00Z</dcterms:created>
  <dcterms:modified xsi:type="dcterms:W3CDTF">2018-01-31T16:12:00Z</dcterms:modified>
</cp:coreProperties>
</file>