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3C0E" w14:textId="1AD85DA2" w:rsidR="004E6A0E" w:rsidRPr="00DD59F9" w:rsidRDefault="007D54E5" w:rsidP="00DD59F9">
      <w:pPr>
        <w:rPr>
          <w:rFonts w:cstheme="minorHAnsi"/>
          <w:i/>
          <w:iCs/>
          <w:sz w:val="20"/>
          <w:szCs w:val="20"/>
        </w:rPr>
      </w:pPr>
      <w:r w:rsidRPr="00DD59F9">
        <w:rPr>
          <w:rFonts w:cstheme="minorHAnsi"/>
          <w:i/>
          <w:iCs/>
          <w:sz w:val="20"/>
          <w:szCs w:val="20"/>
        </w:rPr>
        <w:t>PDC (Professional Development Committee) is a subcommittee of F</w:t>
      </w:r>
      <w:r w:rsidR="00AB3B0B" w:rsidRPr="00DD59F9">
        <w:rPr>
          <w:rFonts w:cstheme="minorHAnsi"/>
          <w:i/>
          <w:iCs/>
          <w:sz w:val="20"/>
          <w:szCs w:val="20"/>
        </w:rPr>
        <w:t xml:space="preserve">aculty </w:t>
      </w:r>
      <w:r w:rsidRPr="00DD59F9">
        <w:rPr>
          <w:rFonts w:cstheme="minorHAnsi"/>
          <w:i/>
          <w:iCs/>
          <w:sz w:val="20"/>
          <w:szCs w:val="20"/>
        </w:rPr>
        <w:t>D</w:t>
      </w:r>
      <w:r w:rsidR="00AB3B0B" w:rsidRPr="00DD59F9">
        <w:rPr>
          <w:rFonts w:cstheme="minorHAnsi"/>
          <w:i/>
          <w:iCs/>
          <w:sz w:val="20"/>
          <w:szCs w:val="20"/>
        </w:rPr>
        <w:t xml:space="preserve">evelopment </w:t>
      </w:r>
      <w:r w:rsidRPr="00DD59F9">
        <w:rPr>
          <w:rFonts w:cstheme="minorHAnsi"/>
          <w:i/>
          <w:iCs/>
          <w:sz w:val="20"/>
          <w:szCs w:val="20"/>
        </w:rPr>
        <w:t>&amp;</w:t>
      </w:r>
      <w:r w:rsidR="00AB3B0B" w:rsidRPr="00DD59F9">
        <w:rPr>
          <w:rFonts w:cstheme="minorHAnsi"/>
          <w:i/>
          <w:iCs/>
          <w:sz w:val="20"/>
          <w:szCs w:val="20"/>
        </w:rPr>
        <w:t xml:space="preserve"> </w:t>
      </w:r>
      <w:r w:rsidRPr="00DD59F9">
        <w:rPr>
          <w:rFonts w:cstheme="minorHAnsi"/>
          <w:i/>
          <w:iCs/>
          <w:sz w:val="20"/>
          <w:szCs w:val="20"/>
        </w:rPr>
        <w:t>B</w:t>
      </w:r>
      <w:r w:rsidR="00AB3B0B" w:rsidRPr="00DD59F9">
        <w:rPr>
          <w:rFonts w:cstheme="minorHAnsi"/>
          <w:i/>
          <w:iCs/>
          <w:sz w:val="20"/>
          <w:szCs w:val="20"/>
        </w:rPr>
        <w:t>enefits Committee</w:t>
      </w:r>
      <w:r w:rsidRPr="00DD59F9">
        <w:rPr>
          <w:rFonts w:cstheme="minorHAnsi"/>
          <w:i/>
          <w:iCs/>
          <w:sz w:val="20"/>
          <w:szCs w:val="20"/>
        </w:rPr>
        <w:t xml:space="preserve">. </w:t>
      </w:r>
      <w:r w:rsidR="00D857C6" w:rsidRPr="00DD59F9">
        <w:rPr>
          <w:rFonts w:cstheme="minorHAnsi"/>
          <w:i/>
          <w:iCs/>
          <w:sz w:val="20"/>
          <w:szCs w:val="20"/>
        </w:rPr>
        <w:t>The goal of PDC is to help allocate resources to fund professional</w:t>
      </w:r>
      <w:r w:rsidR="00921863" w:rsidRPr="00DD59F9">
        <w:rPr>
          <w:rFonts w:cstheme="minorHAnsi"/>
          <w:i/>
          <w:iCs/>
          <w:sz w:val="20"/>
          <w:szCs w:val="20"/>
        </w:rPr>
        <w:t xml:space="preserve"> </w:t>
      </w:r>
      <w:r w:rsidR="00B35AF3" w:rsidRPr="00DD59F9">
        <w:rPr>
          <w:rFonts w:cstheme="minorHAnsi"/>
          <w:i/>
          <w:iCs/>
          <w:sz w:val="20"/>
          <w:szCs w:val="20"/>
        </w:rPr>
        <w:t>development for faculty at Juniata.</w:t>
      </w:r>
      <w:r w:rsidR="004A1D1D" w:rsidRPr="00DD59F9">
        <w:rPr>
          <w:rFonts w:cstheme="minorHAnsi"/>
          <w:i/>
          <w:iCs/>
          <w:sz w:val="20"/>
          <w:szCs w:val="20"/>
        </w:rPr>
        <w:t xml:space="preserve"> In addition, PDC funds certain areas of funding requests</w:t>
      </w:r>
      <w:r w:rsidR="007334D2" w:rsidRPr="00DD59F9">
        <w:rPr>
          <w:rFonts w:cstheme="minorHAnsi"/>
          <w:i/>
          <w:iCs/>
          <w:sz w:val="20"/>
          <w:szCs w:val="20"/>
        </w:rPr>
        <w:t xml:space="preserve">; others are evaluated and funded through the Provost’s Office or other </w:t>
      </w:r>
      <w:r w:rsidR="00AD4760" w:rsidRPr="00DD59F9">
        <w:rPr>
          <w:rFonts w:cstheme="minorHAnsi"/>
          <w:i/>
          <w:iCs/>
          <w:sz w:val="20"/>
          <w:szCs w:val="20"/>
        </w:rPr>
        <w:t>entities.</w:t>
      </w:r>
    </w:p>
    <w:p w14:paraId="357BB104" w14:textId="77777777" w:rsidR="0092376F" w:rsidRDefault="0092376F" w:rsidP="00EA72DB">
      <w:pPr>
        <w:jc w:val="center"/>
        <w:rPr>
          <w:rFonts w:cstheme="minorHAnsi"/>
          <w:i/>
          <w:iCs/>
          <w:sz w:val="20"/>
          <w:szCs w:val="20"/>
        </w:rPr>
      </w:pPr>
    </w:p>
    <w:p w14:paraId="57D839D3" w14:textId="16B83FFE" w:rsidR="00894E59" w:rsidRDefault="007115ED" w:rsidP="00EA72DB">
      <w:pPr>
        <w:jc w:val="center"/>
        <w:rPr>
          <w:rFonts w:cstheme="minorHAnsi"/>
          <w:b/>
          <w:color w:val="0070C0"/>
          <w:sz w:val="32"/>
          <w:szCs w:val="32"/>
          <w:u w:val="single"/>
        </w:rPr>
      </w:pPr>
      <w:r w:rsidRPr="00DD59F9">
        <w:rPr>
          <w:rFonts w:cstheme="minorHAnsi"/>
          <w:b/>
          <w:color w:val="0070C0"/>
          <w:sz w:val="32"/>
          <w:szCs w:val="32"/>
          <w:u w:val="single"/>
        </w:rPr>
        <w:t>Overv</w:t>
      </w:r>
      <w:r w:rsidR="00EA72DB">
        <w:rPr>
          <w:rFonts w:cstheme="minorHAnsi"/>
          <w:b/>
          <w:color w:val="0070C0"/>
          <w:sz w:val="32"/>
          <w:szCs w:val="32"/>
          <w:u w:val="single"/>
        </w:rPr>
        <w:t>i</w:t>
      </w:r>
      <w:r w:rsidRPr="00DD59F9">
        <w:rPr>
          <w:rFonts w:cstheme="minorHAnsi"/>
          <w:b/>
          <w:color w:val="0070C0"/>
          <w:sz w:val="32"/>
          <w:szCs w:val="32"/>
          <w:u w:val="single"/>
        </w:rPr>
        <w:t>ew: The T</w:t>
      </w:r>
      <w:r w:rsidR="00CF6773" w:rsidRPr="00DD59F9">
        <w:rPr>
          <w:rFonts w:cstheme="minorHAnsi"/>
          <w:b/>
          <w:color w:val="0070C0"/>
          <w:sz w:val="32"/>
          <w:szCs w:val="32"/>
          <w:u w:val="single"/>
        </w:rPr>
        <w:t>ypes of Awards</w:t>
      </w:r>
    </w:p>
    <w:tbl>
      <w:tblPr>
        <w:tblStyle w:val="TableGrid"/>
        <w:tblW w:w="10795" w:type="dxa"/>
        <w:tblLook w:val="04A0" w:firstRow="1" w:lastRow="0" w:firstColumn="1" w:lastColumn="0" w:noHBand="0" w:noVBand="1"/>
      </w:tblPr>
      <w:tblGrid>
        <w:gridCol w:w="1794"/>
        <w:gridCol w:w="4634"/>
        <w:gridCol w:w="1700"/>
        <w:gridCol w:w="1227"/>
        <w:gridCol w:w="1440"/>
      </w:tblGrid>
      <w:tr w:rsidR="00A022A7" w:rsidRPr="003204DC" w14:paraId="13FD78D1" w14:textId="77777777" w:rsidTr="003247AA">
        <w:tc>
          <w:tcPr>
            <w:tcW w:w="1795" w:type="dxa"/>
          </w:tcPr>
          <w:p w14:paraId="71254437" w14:textId="364D7288" w:rsidR="00994CF7" w:rsidRPr="00F53B74" w:rsidRDefault="00994CF7" w:rsidP="00D9401A">
            <w:pPr>
              <w:jc w:val="center"/>
              <w:rPr>
                <w:rFonts w:cstheme="minorHAnsi"/>
                <w:i/>
                <w:iCs/>
                <w:sz w:val="20"/>
                <w:szCs w:val="20"/>
              </w:rPr>
            </w:pPr>
            <w:r w:rsidRPr="00F53B74">
              <w:rPr>
                <w:rFonts w:cstheme="minorHAnsi"/>
                <w:i/>
                <w:iCs/>
                <w:sz w:val="20"/>
                <w:szCs w:val="20"/>
              </w:rPr>
              <w:t>Type of Award</w:t>
            </w:r>
          </w:p>
        </w:tc>
        <w:tc>
          <w:tcPr>
            <w:tcW w:w="4639" w:type="dxa"/>
          </w:tcPr>
          <w:p w14:paraId="3DB6E4FF" w14:textId="6C28073E" w:rsidR="00994CF7" w:rsidRPr="00F53B74" w:rsidRDefault="00994CF7" w:rsidP="00D9401A">
            <w:pPr>
              <w:jc w:val="center"/>
              <w:rPr>
                <w:rFonts w:cstheme="minorHAnsi"/>
                <w:i/>
                <w:iCs/>
                <w:sz w:val="20"/>
                <w:szCs w:val="20"/>
              </w:rPr>
            </w:pPr>
            <w:r w:rsidRPr="00F53B74">
              <w:rPr>
                <w:rFonts w:cstheme="minorHAnsi"/>
                <w:i/>
                <w:iCs/>
                <w:sz w:val="20"/>
                <w:szCs w:val="20"/>
              </w:rPr>
              <w:t>Description</w:t>
            </w:r>
          </w:p>
        </w:tc>
        <w:tc>
          <w:tcPr>
            <w:tcW w:w="1701" w:type="dxa"/>
          </w:tcPr>
          <w:p w14:paraId="2C7BDD95" w14:textId="2F65403E" w:rsidR="00994CF7" w:rsidRPr="00F53B74" w:rsidRDefault="00994CF7" w:rsidP="00D9401A">
            <w:pPr>
              <w:jc w:val="center"/>
              <w:rPr>
                <w:rFonts w:cstheme="minorHAnsi"/>
                <w:i/>
                <w:iCs/>
                <w:sz w:val="20"/>
                <w:szCs w:val="20"/>
              </w:rPr>
            </w:pPr>
            <w:r w:rsidRPr="00F53B74">
              <w:rPr>
                <w:rFonts w:cstheme="minorHAnsi"/>
                <w:i/>
                <w:iCs/>
                <w:sz w:val="20"/>
                <w:szCs w:val="20"/>
              </w:rPr>
              <w:t>How To Apply</w:t>
            </w:r>
          </w:p>
        </w:tc>
        <w:tc>
          <w:tcPr>
            <w:tcW w:w="1220" w:type="dxa"/>
          </w:tcPr>
          <w:p w14:paraId="26F079E4" w14:textId="614100F1" w:rsidR="00994CF7" w:rsidRPr="00F53B74" w:rsidRDefault="00994CF7" w:rsidP="00D9401A">
            <w:pPr>
              <w:jc w:val="center"/>
              <w:rPr>
                <w:rFonts w:cstheme="minorHAnsi"/>
                <w:i/>
                <w:iCs/>
                <w:sz w:val="20"/>
                <w:szCs w:val="20"/>
              </w:rPr>
            </w:pPr>
            <w:r w:rsidRPr="00F53B74">
              <w:rPr>
                <w:rFonts w:cstheme="minorHAnsi"/>
                <w:i/>
                <w:iCs/>
                <w:sz w:val="20"/>
                <w:szCs w:val="20"/>
              </w:rPr>
              <w:t>Awards are Decided Upon by:</w:t>
            </w:r>
          </w:p>
        </w:tc>
        <w:tc>
          <w:tcPr>
            <w:tcW w:w="1440" w:type="dxa"/>
          </w:tcPr>
          <w:p w14:paraId="7280F4B8" w14:textId="14D65429" w:rsidR="00994CF7" w:rsidRPr="00F53B74" w:rsidRDefault="00994CF7" w:rsidP="00D9401A">
            <w:pPr>
              <w:jc w:val="center"/>
              <w:rPr>
                <w:rFonts w:cstheme="minorHAnsi"/>
                <w:i/>
                <w:iCs/>
                <w:sz w:val="20"/>
                <w:szCs w:val="20"/>
              </w:rPr>
            </w:pPr>
            <w:r w:rsidRPr="00F53B74">
              <w:rPr>
                <w:rFonts w:cstheme="minorHAnsi"/>
                <w:i/>
                <w:iCs/>
                <w:sz w:val="20"/>
                <w:szCs w:val="20"/>
              </w:rPr>
              <w:t>Awards come from a budget supervised by:</w:t>
            </w:r>
          </w:p>
        </w:tc>
      </w:tr>
      <w:tr w:rsidR="00A022A7" w:rsidRPr="003204DC" w14:paraId="7A440DCB" w14:textId="77777777" w:rsidTr="003247AA">
        <w:tc>
          <w:tcPr>
            <w:tcW w:w="1795" w:type="dxa"/>
          </w:tcPr>
          <w:p w14:paraId="4804068F" w14:textId="45FF9E6D" w:rsidR="00F35D39" w:rsidRPr="00F53B74" w:rsidRDefault="00F35D39" w:rsidP="00D9401A">
            <w:pPr>
              <w:pStyle w:val="ListParagraph"/>
              <w:numPr>
                <w:ilvl w:val="0"/>
                <w:numId w:val="28"/>
              </w:numPr>
              <w:ind w:left="248" w:hanging="270"/>
              <w:rPr>
                <w:rFonts w:cstheme="minorHAnsi"/>
                <w:i/>
                <w:iCs/>
                <w:color w:val="FF0000"/>
                <w:sz w:val="20"/>
                <w:szCs w:val="20"/>
              </w:rPr>
            </w:pPr>
            <w:r w:rsidRPr="00F53B74">
              <w:rPr>
                <w:rFonts w:cstheme="minorHAnsi"/>
                <w:b/>
                <w:bCs/>
                <w:sz w:val="20"/>
                <w:szCs w:val="20"/>
              </w:rPr>
              <w:t>Professional conferences or workshops</w:t>
            </w:r>
            <w:r w:rsidRPr="00F53B74">
              <w:rPr>
                <w:rFonts w:cstheme="minorHAnsi"/>
                <w:sz w:val="20"/>
                <w:szCs w:val="20"/>
              </w:rPr>
              <w:t xml:space="preserve"> (funding of </w:t>
            </w:r>
            <w:r w:rsidRPr="00F53B74">
              <w:rPr>
                <w:rFonts w:cstheme="minorHAnsi"/>
                <w:b/>
                <w:bCs/>
                <w:sz w:val="20"/>
                <w:szCs w:val="20"/>
              </w:rPr>
              <w:t>full time and pro-rata faculty</w:t>
            </w:r>
            <w:r w:rsidRPr="00F53B74">
              <w:rPr>
                <w:rFonts w:cstheme="minorHAnsi"/>
                <w:sz w:val="20"/>
                <w:szCs w:val="20"/>
              </w:rPr>
              <w:t xml:space="preserve"> to attend or participate)</w:t>
            </w:r>
          </w:p>
        </w:tc>
        <w:tc>
          <w:tcPr>
            <w:tcW w:w="4639" w:type="dxa"/>
            <w:vMerge w:val="restart"/>
          </w:tcPr>
          <w:p w14:paraId="441DF4B8" w14:textId="55A0924F" w:rsidR="00E50C26" w:rsidRPr="00F53B74" w:rsidRDefault="00E50C26" w:rsidP="00E50C26">
            <w:pPr>
              <w:rPr>
                <w:rFonts w:cstheme="minorHAnsi"/>
                <w:sz w:val="20"/>
                <w:szCs w:val="20"/>
              </w:rPr>
            </w:pPr>
            <w:r w:rsidRPr="00F53B74">
              <w:rPr>
                <w:rFonts w:cstheme="minorHAnsi"/>
                <w:b/>
                <w:i/>
                <w:iCs/>
                <w:sz w:val="20"/>
                <w:szCs w:val="20"/>
              </w:rPr>
              <w:t>Participant</w:t>
            </w:r>
            <w:r w:rsidRPr="00F53B74">
              <w:rPr>
                <w:rFonts w:cstheme="minorHAnsi"/>
                <w:sz w:val="20"/>
                <w:szCs w:val="20"/>
              </w:rPr>
              <w:t xml:space="preserve"> involves the sharing of original work that was selected through a peer review process, or significant leadership roles. This can include responding to an invitation to present a paper; presenting an original piece of art; leading/serving on a panel; and/or serving as an elected officer. </w:t>
            </w:r>
            <w:r w:rsidR="00291A6F" w:rsidRPr="00F53B74">
              <w:rPr>
                <w:rFonts w:cstheme="minorHAnsi"/>
                <w:sz w:val="20"/>
                <w:szCs w:val="20"/>
              </w:rPr>
              <w:t>Currently</w:t>
            </w:r>
            <w:r w:rsidR="00185CA7" w:rsidRPr="00F53B74">
              <w:rPr>
                <w:rFonts w:cstheme="minorHAnsi"/>
                <w:sz w:val="20"/>
                <w:szCs w:val="20"/>
              </w:rPr>
              <w:t>,</w:t>
            </w:r>
            <w:r w:rsidR="00291A6F" w:rsidRPr="00F53B74">
              <w:rPr>
                <w:rFonts w:cstheme="minorHAnsi"/>
                <w:sz w:val="20"/>
                <w:szCs w:val="20"/>
              </w:rPr>
              <w:t xml:space="preserve"> </w:t>
            </w:r>
            <w:r w:rsidRPr="00F53B74">
              <w:rPr>
                <w:rFonts w:cstheme="minorHAnsi"/>
                <w:sz w:val="20"/>
                <w:szCs w:val="20"/>
              </w:rPr>
              <w:t xml:space="preserve">100% of </w:t>
            </w:r>
            <w:r w:rsidR="00C06F53" w:rsidRPr="00F53B74">
              <w:rPr>
                <w:rFonts w:cstheme="minorHAnsi"/>
                <w:sz w:val="20"/>
                <w:szCs w:val="20"/>
              </w:rPr>
              <w:t xml:space="preserve">a </w:t>
            </w:r>
            <w:r w:rsidRPr="00F53B74">
              <w:rPr>
                <w:rFonts w:cstheme="minorHAnsi"/>
                <w:sz w:val="20"/>
                <w:szCs w:val="20"/>
              </w:rPr>
              <w:t>request</w:t>
            </w:r>
            <w:r w:rsidR="00997BD4" w:rsidRPr="00F53B74">
              <w:rPr>
                <w:rFonts w:cstheme="minorHAnsi"/>
                <w:sz w:val="20"/>
                <w:szCs w:val="20"/>
              </w:rPr>
              <w:t>,</w:t>
            </w:r>
            <w:r w:rsidRPr="00F53B74">
              <w:rPr>
                <w:rFonts w:cstheme="minorHAnsi"/>
                <w:sz w:val="20"/>
                <w:szCs w:val="20"/>
              </w:rPr>
              <w:t xml:space="preserve"> with a $500 per year cap for virtual and $2,250 per year cap for in person, may be awarded per conference.</w:t>
            </w:r>
          </w:p>
          <w:p w14:paraId="4C4214A7" w14:textId="77777777" w:rsidR="00E50C26" w:rsidRPr="00F53B74" w:rsidRDefault="00E50C26" w:rsidP="00E50C26">
            <w:pPr>
              <w:rPr>
                <w:rFonts w:cstheme="minorHAnsi"/>
                <w:i/>
                <w:iCs/>
                <w:sz w:val="20"/>
                <w:szCs w:val="20"/>
              </w:rPr>
            </w:pPr>
            <w:r w:rsidRPr="00F53B74">
              <w:rPr>
                <w:rFonts w:cstheme="minorHAnsi"/>
                <w:i/>
                <w:iCs/>
                <w:sz w:val="20"/>
                <w:szCs w:val="20"/>
              </w:rPr>
              <w:t>(Typically, session moderator roles are not supported as “Participation.”)</w:t>
            </w:r>
          </w:p>
          <w:p w14:paraId="674059AF" w14:textId="77777777" w:rsidR="00E50C26" w:rsidRPr="00F53B74" w:rsidRDefault="00E50C26" w:rsidP="00E50C26">
            <w:pPr>
              <w:rPr>
                <w:rFonts w:cstheme="minorHAnsi"/>
                <w:sz w:val="20"/>
                <w:szCs w:val="20"/>
              </w:rPr>
            </w:pPr>
          </w:p>
          <w:p w14:paraId="0EC6581C" w14:textId="1884C225" w:rsidR="00F35D39" w:rsidRPr="00F53B74" w:rsidRDefault="00F35D39" w:rsidP="00F35D39">
            <w:pPr>
              <w:rPr>
                <w:rFonts w:cstheme="minorHAnsi"/>
                <w:sz w:val="20"/>
                <w:szCs w:val="20"/>
              </w:rPr>
            </w:pPr>
            <w:r w:rsidRPr="00F53B74">
              <w:rPr>
                <w:rFonts w:cstheme="minorHAnsi"/>
                <w:b/>
                <w:i/>
                <w:iCs/>
                <w:sz w:val="20"/>
                <w:szCs w:val="20"/>
              </w:rPr>
              <w:t>Attendee</w:t>
            </w:r>
            <w:r w:rsidRPr="00F53B74">
              <w:rPr>
                <w:rFonts w:cstheme="minorHAnsi"/>
                <w:sz w:val="20"/>
                <w:szCs w:val="20"/>
              </w:rPr>
              <w:t xml:space="preserve"> involves choosing to attend a conference/workshop to gain new knowledge or skills. Currently, PDC funds up to $250 per year for virtual conference and $1,125 per year for in person conferences)</w:t>
            </w:r>
          </w:p>
          <w:p w14:paraId="73B5B93A" w14:textId="77777777" w:rsidR="00B62257" w:rsidRPr="00F53B74" w:rsidRDefault="00B62257" w:rsidP="00F35D39">
            <w:pPr>
              <w:rPr>
                <w:rFonts w:cstheme="minorHAnsi"/>
                <w:sz w:val="20"/>
                <w:szCs w:val="20"/>
              </w:rPr>
            </w:pPr>
          </w:p>
          <w:p w14:paraId="5D7C69F3" w14:textId="68A04BD5" w:rsidR="00F35D39" w:rsidRPr="00F53B74" w:rsidRDefault="00B62257" w:rsidP="00D9401A">
            <w:pPr>
              <w:rPr>
                <w:rFonts w:cstheme="minorHAnsi"/>
                <w:i/>
                <w:iCs/>
                <w:color w:val="FF0000"/>
                <w:sz w:val="20"/>
                <w:szCs w:val="20"/>
              </w:rPr>
            </w:pPr>
            <w:r w:rsidRPr="00F53B74">
              <w:rPr>
                <w:rFonts w:cstheme="minorHAnsi"/>
                <w:sz w:val="20"/>
                <w:szCs w:val="20"/>
              </w:rPr>
              <w:t xml:space="preserve">NOTE: </w:t>
            </w:r>
            <w:r w:rsidRPr="00F53B74">
              <w:rPr>
                <w:rFonts w:cstheme="minorHAnsi"/>
                <w:i/>
                <w:iCs/>
                <w:sz w:val="20"/>
                <w:szCs w:val="20"/>
              </w:rPr>
              <w:t xml:space="preserve">If </w:t>
            </w:r>
            <w:r w:rsidR="00063FBE" w:rsidRPr="00F53B74">
              <w:rPr>
                <w:rFonts w:cstheme="minorHAnsi"/>
                <w:i/>
                <w:iCs/>
                <w:sz w:val="20"/>
                <w:szCs w:val="20"/>
              </w:rPr>
              <w:t xml:space="preserve">your participation or attendance </w:t>
            </w:r>
            <w:r w:rsidR="00F77317" w:rsidRPr="00F53B74">
              <w:rPr>
                <w:rFonts w:cstheme="minorHAnsi"/>
                <w:i/>
                <w:iCs/>
                <w:sz w:val="20"/>
                <w:szCs w:val="20"/>
              </w:rPr>
              <w:t>involves Juniata students</w:t>
            </w:r>
            <w:r w:rsidR="00F77317" w:rsidRPr="00F53B74">
              <w:rPr>
                <w:rFonts w:cstheme="minorHAnsi"/>
                <w:sz w:val="20"/>
                <w:szCs w:val="20"/>
              </w:rPr>
              <w:t xml:space="preserve">, see </w:t>
            </w:r>
            <w:r w:rsidR="00F95E2E" w:rsidRPr="00F53B74">
              <w:rPr>
                <w:rFonts w:cstheme="minorHAnsi"/>
                <w:sz w:val="20"/>
                <w:szCs w:val="20"/>
              </w:rPr>
              <w:t xml:space="preserve">funding type L </w:t>
            </w:r>
            <w:r w:rsidR="00F77317" w:rsidRPr="00F53B74">
              <w:rPr>
                <w:rFonts w:cstheme="minorHAnsi"/>
                <w:sz w:val="20"/>
                <w:szCs w:val="20"/>
              </w:rPr>
              <w:t>below: “Traveling with students to educational opportunities</w:t>
            </w:r>
            <w:r w:rsidR="009603A6" w:rsidRPr="00F53B74">
              <w:rPr>
                <w:rFonts w:cstheme="minorHAnsi"/>
                <w:sz w:val="20"/>
                <w:szCs w:val="20"/>
              </w:rPr>
              <w:t>.</w:t>
            </w:r>
            <w:r w:rsidR="00F77317" w:rsidRPr="00F53B74">
              <w:rPr>
                <w:rFonts w:cstheme="minorHAnsi"/>
                <w:sz w:val="20"/>
                <w:szCs w:val="20"/>
              </w:rPr>
              <w:t xml:space="preserve">” </w:t>
            </w:r>
            <w:r w:rsidR="00B53137" w:rsidRPr="00F53B74">
              <w:rPr>
                <w:rFonts w:cstheme="minorHAnsi"/>
                <w:sz w:val="20"/>
                <w:szCs w:val="20"/>
              </w:rPr>
              <w:t xml:space="preserve">Do not </w:t>
            </w:r>
            <w:r w:rsidR="00627556" w:rsidRPr="00F53B74">
              <w:rPr>
                <w:rFonts w:cstheme="minorHAnsi"/>
                <w:sz w:val="20"/>
                <w:szCs w:val="20"/>
              </w:rPr>
              <w:t>submit</w:t>
            </w:r>
            <w:r w:rsidR="00B53137" w:rsidRPr="00F53B74">
              <w:rPr>
                <w:rFonts w:cstheme="minorHAnsi"/>
                <w:sz w:val="20"/>
                <w:szCs w:val="20"/>
              </w:rPr>
              <w:t xml:space="preserve"> t</w:t>
            </w:r>
            <w:r w:rsidR="0057536F" w:rsidRPr="00F53B74">
              <w:rPr>
                <w:rFonts w:cstheme="minorHAnsi"/>
                <w:sz w:val="20"/>
                <w:szCs w:val="20"/>
              </w:rPr>
              <w:t>hrough</w:t>
            </w:r>
            <w:r w:rsidR="00B53137" w:rsidRPr="00F53B74">
              <w:rPr>
                <w:rFonts w:cstheme="minorHAnsi"/>
                <w:sz w:val="20"/>
                <w:szCs w:val="20"/>
              </w:rPr>
              <w:t xml:space="preserve"> the PDC portal for these types</w:t>
            </w:r>
            <w:r w:rsidR="00627556" w:rsidRPr="00F53B74">
              <w:rPr>
                <w:rFonts w:cstheme="minorHAnsi"/>
                <w:sz w:val="20"/>
                <w:szCs w:val="20"/>
              </w:rPr>
              <w:t xml:space="preserve"> of requests.</w:t>
            </w:r>
          </w:p>
        </w:tc>
        <w:tc>
          <w:tcPr>
            <w:tcW w:w="1701" w:type="dxa"/>
          </w:tcPr>
          <w:p w14:paraId="08F96C7E" w14:textId="4A8A135C" w:rsidR="00F35D39" w:rsidRPr="00F53B74" w:rsidRDefault="00F35D39" w:rsidP="00AE4A93">
            <w:pPr>
              <w:rPr>
                <w:rFonts w:cstheme="minorHAnsi"/>
                <w:i/>
                <w:iCs/>
                <w:color w:val="FF0000"/>
                <w:sz w:val="20"/>
                <w:szCs w:val="20"/>
              </w:rPr>
            </w:pPr>
            <w:r w:rsidRPr="00F53B74">
              <w:rPr>
                <w:rFonts w:cstheme="minorHAnsi"/>
                <w:sz w:val="20"/>
                <w:szCs w:val="20"/>
              </w:rPr>
              <w:t xml:space="preserve">apply </w:t>
            </w:r>
            <w:r w:rsidR="00576317" w:rsidRPr="00F53B74">
              <w:rPr>
                <w:rFonts w:cstheme="minorHAnsi"/>
                <w:color w:val="0070C0"/>
                <w:sz w:val="20"/>
                <w:szCs w:val="20"/>
                <w:highlight w:val="green"/>
              </w:rPr>
              <w:t>HERE</w:t>
            </w:r>
            <w:r w:rsidR="00576317" w:rsidRPr="00F53B74">
              <w:rPr>
                <w:rFonts w:cstheme="minorHAnsi"/>
                <w:color w:val="0070C0"/>
                <w:sz w:val="20"/>
                <w:szCs w:val="20"/>
              </w:rPr>
              <w:t>,</w:t>
            </w:r>
            <w:r w:rsidR="00576317" w:rsidRPr="00F53B74">
              <w:rPr>
                <w:rFonts w:cstheme="minorHAnsi"/>
                <w:sz w:val="20"/>
                <w:szCs w:val="20"/>
              </w:rPr>
              <w:t xml:space="preserve"> </w:t>
            </w:r>
            <w:r w:rsidRPr="00F53B74">
              <w:rPr>
                <w:rFonts w:cstheme="minorHAnsi"/>
                <w:sz w:val="20"/>
                <w:szCs w:val="20"/>
              </w:rPr>
              <w:t>through the PDC portal</w:t>
            </w:r>
          </w:p>
        </w:tc>
        <w:tc>
          <w:tcPr>
            <w:tcW w:w="1220" w:type="dxa"/>
          </w:tcPr>
          <w:p w14:paraId="63C3CFC0" w14:textId="004C1CD2" w:rsidR="00F35D39" w:rsidRPr="00F53B74" w:rsidRDefault="00F35D39" w:rsidP="00AE4A93">
            <w:pPr>
              <w:rPr>
                <w:rFonts w:cstheme="minorHAnsi"/>
                <w:i/>
                <w:iCs/>
                <w:color w:val="FF0000"/>
                <w:sz w:val="20"/>
                <w:szCs w:val="20"/>
              </w:rPr>
            </w:pPr>
            <w:r w:rsidRPr="00F53B74">
              <w:rPr>
                <w:rFonts w:cstheme="minorHAnsi"/>
                <w:sz w:val="20"/>
                <w:szCs w:val="20"/>
              </w:rPr>
              <w:t>PDC</w:t>
            </w:r>
          </w:p>
        </w:tc>
        <w:tc>
          <w:tcPr>
            <w:tcW w:w="1440" w:type="dxa"/>
          </w:tcPr>
          <w:p w14:paraId="6A05D882" w14:textId="6F8E48FB" w:rsidR="00F35D39" w:rsidRPr="00F53B74" w:rsidRDefault="00F35D39" w:rsidP="00A022A7">
            <w:pPr>
              <w:jc w:val="center"/>
              <w:rPr>
                <w:rFonts w:cstheme="minorHAnsi"/>
                <w:i/>
                <w:iCs/>
                <w:color w:val="FF0000"/>
                <w:sz w:val="20"/>
                <w:szCs w:val="20"/>
              </w:rPr>
            </w:pPr>
            <w:r w:rsidRPr="00F53B74">
              <w:rPr>
                <w:rFonts w:cstheme="minorHAnsi"/>
                <w:sz w:val="20"/>
                <w:szCs w:val="20"/>
              </w:rPr>
              <w:t>PDC</w:t>
            </w:r>
            <w:r w:rsidR="00C76DDE" w:rsidRPr="00F53B74">
              <w:rPr>
                <w:rFonts w:cstheme="minorHAnsi"/>
                <w:sz w:val="20"/>
                <w:szCs w:val="20"/>
              </w:rPr>
              <w:t xml:space="preserve"> </w:t>
            </w:r>
            <w:r w:rsidR="009927B9" w:rsidRPr="00F53B74">
              <w:rPr>
                <w:rFonts w:cstheme="minorHAnsi"/>
                <w:sz w:val="20"/>
                <w:szCs w:val="20"/>
              </w:rPr>
              <w:t>(paid from</w:t>
            </w:r>
            <w:r w:rsidR="00C76DDE" w:rsidRPr="00F53B74">
              <w:rPr>
                <w:rFonts w:cstheme="minorHAnsi"/>
                <w:sz w:val="20"/>
                <w:szCs w:val="20"/>
              </w:rPr>
              <w:t xml:space="preserve"> the PDC restricted fund</w:t>
            </w:r>
            <w:r w:rsidR="00FC5E3B" w:rsidRPr="00F53B74">
              <w:rPr>
                <w:rFonts w:cstheme="minorHAnsi"/>
                <w:sz w:val="20"/>
                <w:szCs w:val="20"/>
              </w:rPr>
              <w:t>, 12-45900</w:t>
            </w:r>
            <w:r w:rsidR="00466F1D" w:rsidRPr="00F53B74">
              <w:rPr>
                <w:rFonts w:cstheme="minorHAnsi"/>
                <w:sz w:val="20"/>
                <w:szCs w:val="20"/>
              </w:rPr>
              <w:t>)</w:t>
            </w:r>
            <w:r w:rsidR="00D00144" w:rsidRPr="00F53B74">
              <w:rPr>
                <w:rFonts w:cstheme="minorHAnsi"/>
                <w:sz w:val="20"/>
                <w:szCs w:val="20"/>
              </w:rPr>
              <w:t xml:space="preserve">. </w:t>
            </w:r>
            <w:r w:rsidR="00D00144" w:rsidRPr="00F53B74">
              <w:rPr>
                <w:rFonts w:cstheme="minorHAnsi"/>
                <w:color w:val="093266"/>
                <w:sz w:val="20"/>
                <w:szCs w:val="20"/>
              </w:rPr>
              <w:t>(There are ten different endowments that fund this account).</w:t>
            </w:r>
          </w:p>
        </w:tc>
      </w:tr>
      <w:tr w:rsidR="00C1237F" w:rsidRPr="003204DC" w14:paraId="5DF72CDF" w14:textId="77777777" w:rsidTr="003247AA">
        <w:trPr>
          <w:trHeight w:val="2510"/>
        </w:trPr>
        <w:tc>
          <w:tcPr>
            <w:tcW w:w="1795" w:type="dxa"/>
          </w:tcPr>
          <w:p w14:paraId="1FD21092" w14:textId="314ECB6B" w:rsidR="00F35D39" w:rsidRPr="00F53B74" w:rsidRDefault="00F35D39" w:rsidP="00D9401A">
            <w:pPr>
              <w:pStyle w:val="ListParagraph"/>
              <w:numPr>
                <w:ilvl w:val="0"/>
                <w:numId w:val="28"/>
              </w:numPr>
              <w:ind w:left="248" w:hanging="270"/>
              <w:rPr>
                <w:rFonts w:cstheme="minorHAnsi"/>
                <w:i/>
                <w:iCs/>
                <w:color w:val="FF0000"/>
                <w:sz w:val="20"/>
                <w:szCs w:val="20"/>
              </w:rPr>
            </w:pPr>
            <w:r w:rsidRPr="00F53B74">
              <w:rPr>
                <w:rFonts w:cstheme="minorHAnsi"/>
                <w:b/>
                <w:bCs/>
                <w:sz w:val="20"/>
                <w:szCs w:val="20"/>
              </w:rPr>
              <w:t>Professional conferences or workshops</w:t>
            </w:r>
            <w:r w:rsidRPr="00F53B74">
              <w:rPr>
                <w:rFonts w:cstheme="minorHAnsi"/>
                <w:sz w:val="20"/>
                <w:szCs w:val="20"/>
              </w:rPr>
              <w:t xml:space="preserve"> (funding of </w:t>
            </w:r>
            <w:r w:rsidRPr="00F53B74">
              <w:rPr>
                <w:rFonts w:cstheme="minorHAnsi"/>
                <w:b/>
                <w:bCs/>
                <w:sz w:val="20"/>
                <w:szCs w:val="20"/>
              </w:rPr>
              <w:t>fixed-term faculty</w:t>
            </w:r>
            <w:r w:rsidRPr="00F53B74">
              <w:rPr>
                <w:rFonts w:cstheme="minorHAnsi"/>
                <w:sz w:val="20"/>
                <w:szCs w:val="20"/>
              </w:rPr>
              <w:t xml:space="preserve"> to attend or participate)</w:t>
            </w:r>
          </w:p>
        </w:tc>
        <w:tc>
          <w:tcPr>
            <w:tcW w:w="4639" w:type="dxa"/>
            <w:vMerge/>
          </w:tcPr>
          <w:p w14:paraId="58D27333" w14:textId="77777777" w:rsidR="00F35D39" w:rsidRPr="00F53B74" w:rsidRDefault="00F35D39" w:rsidP="00AE4A93">
            <w:pPr>
              <w:rPr>
                <w:rFonts w:cstheme="minorHAnsi"/>
                <w:i/>
                <w:iCs/>
                <w:color w:val="FF0000"/>
                <w:sz w:val="20"/>
                <w:szCs w:val="20"/>
              </w:rPr>
            </w:pPr>
          </w:p>
        </w:tc>
        <w:tc>
          <w:tcPr>
            <w:tcW w:w="1701" w:type="dxa"/>
          </w:tcPr>
          <w:p w14:paraId="1C9A5448" w14:textId="20225637" w:rsidR="00F35D39" w:rsidRPr="00F53B74" w:rsidRDefault="009F4421" w:rsidP="00AE4A93">
            <w:pPr>
              <w:rPr>
                <w:rFonts w:cstheme="minorHAnsi"/>
                <w:i/>
                <w:iCs/>
                <w:color w:val="FF0000"/>
                <w:sz w:val="20"/>
                <w:szCs w:val="20"/>
              </w:rPr>
            </w:pPr>
            <w:r w:rsidRPr="00F53B74">
              <w:rPr>
                <w:rFonts w:cstheme="minorHAnsi"/>
                <w:sz w:val="20"/>
                <w:szCs w:val="20"/>
              </w:rPr>
              <w:t>a</w:t>
            </w:r>
            <w:r w:rsidR="00F35D39" w:rsidRPr="00F53B74">
              <w:rPr>
                <w:rFonts w:cstheme="minorHAnsi"/>
                <w:sz w:val="20"/>
                <w:szCs w:val="20"/>
              </w:rPr>
              <w:t>pply</w:t>
            </w:r>
            <w:r w:rsidR="00576317" w:rsidRPr="00F53B74">
              <w:rPr>
                <w:rFonts w:cstheme="minorHAnsi"/>
                <w:sz w:val="20"/>
                <w:szCs w:val="20"/>
              </w:rPr>
              <w:t xml:space="preserve"> </w:t>
            </w:r>
            <w:r w:rsidR="00D9401A" w:rsidRPr="00F53B74">
              <w:rPr>
                <w:rFonts w:cstheme="minorHAnsi"/>
                <w:color w:val="0070C0"/>
                <w:sz w:val="20"/>
                <w:szCs w:val="20"/>
                <w:highlight w:val="green"/>
              </w:rPr>
              <w:t>HERE</w:t>
            </w:r>
            <w:r w:rsidR="00576317" w:rsidRPr="00F53B74">
              <w:rPr>
                <w:rFonts w:cstheme="minorHAnsi"/>
                <w:sz w:val="20"/>
                <w:szCs w:val="20"/>
              </w:rPr>
              <w:t>,</w:t>
            </w:r>
            <w:r w:rsidR="00F35D39" w:rsidRPr="00F53B74">
              <w:rPr>
                <w:rFonts w:cstheme="minorHAnsi"/>
                <w:sz w:val="20"/>
                <w:szCs w:val="20"/>
              </w:rPr>
              <w:t xml:space="preserve"> through the PDC portal</w:t>
            </w:r>
          </w:p>
        </w:tc>
        <w:tc>
          <w:tcPr>
            <w:tcW w:w="1220" w:type="dxa"/>
          </w:tcPr>
          <w:p w14:paraId="679FFF15" w14:textId="5F76C51F" w:rsidR="00F35D39" w:rsidRPr="00F53B74" w:rsidRDefault="00FD0689" w:rsidP="00AE4A93">
            <w:pPr>
              <w:rPr>
                <w:rFonts w:cstheme="minorHAnsi"/>
                <w:i/>
                <w:iCs/>
                <w:color w:val="FF0000"/>
                <w:sz w:val="20"/>
                <w:szCs w:val="20"/>
              </w:rPr>
            </w:pPr>
            <w:r w:rsidRPr="00F53B74">
              <w:rPr>
                <w:rFonts w:cstheme="minorHAnsi"/>
                <w:sz w:val="20"/>
                <w:szCs w:val="20"/>
              </w:rPr>
              <w:t>PDC</w:t>
            </w:r>
            <w:r w:rsidR="00C1237F" w:rsidRPr="00F53B74">
              <w:rPr>
                <w:rFonts w:cstheme="minorHAnsi"/>
                <w:sz w:val="20"/>
                <w:szCs w:val="20"/>
              </w:rPr>
              <w:t xml:space="preserve"> reviews the proposals and </w:t>
            </w:r>
            <w:r w:rsidR="00F335AF" w:rsidRPr="00F53B74">
              <w:rPr>
                <w:rFonts w:cstheme="minorHAnsi"/>
                <w:sz w:val="20"/>
                <w:szCs w:val="20"/>
              </w:rPr>
              <w:t>forwards them to the Provost’s Office for</w:t>
            </w:r>
            <w:r w:rsidR="00C1237F" w:rsidRPr="00F53B74">
              <w:rPr>
                <w:rFonts w:cstheme="minorHAnsi"/>
                <w:sz w:val="20"/>
                <w:szCs w:val="20"/>
              </w:rPr>
              <w:t xml:space="preserve"> funding.</w:t>
            </w:r>
          </w:p>
        </w:tc>
        <w:tc>
          <w:tcPr>
            <w:tcW w:w="1440" w:type="dxa"/>
          </w:tcPr>
          <w:p w14:paraId="0009B9ED" w14:textId="65A59911" w:rsidR="00F35D39" w:rsidRPr="00F53B74" w:rsidRDefault="00F35D39" w:rsidP="00AE4A93">
            <w:pPr>
              <w:rPr>
                <w:rFonts w:cstheme="minorHAnsi"/>
                <w:color w:val="FF0000"/>
                <w:sz w:val="20"/>
                <w:szCs w:val="20"/>
              </w:rPr>
            </w:pPr>
            <w:r w:rsidRPr="00F53B74">
              <w:rPr>
                <w:rFonts w:cstheme="minorHAnsi"/>
                <w:sz w:val="20"/>
                <w:szCs w:val="20"/>
              </w:rPr>
              <w:t>Provost</w:t>
            </w:r>
            <w:r w:rsidR="00FC5E3B" w:rsidRPr="00F53B74">
              <w:rPr>
                <w:rFonts w:cstheme="minorHAnsi"/>
                <w:sz w:val="20"/>
                <w:szCs w:val="20"/>
              </w:rPr>
              <w:t xml:space="preserve"> (11-45900</w:t>
            </w:r>
            <w:r w:rsidR="00270B3F" w:rsidRPr="00F53B74">
              <w:rPr>
                <w:rFonts w:cstheme="minorHAnsi"/>
                <w:sz w:val="20"/>
                <w:szCs w:val="20"/>
              </w:rPr>
              <w:t xml:space="preserve"> fund</w:t>
            </w:r>
            <w:r w:rsidR="00FC5E3B" w:rsidRPr="00F53B74">
              <w:rPr>
                <w:rFonts w:cstheme="minorHAnsi"/>
                <w:sz w:val="20"/>
                <w:szCs w:val="20"/>
              </w:rPr>
              <w:t>)</w:t>
            </w:r>
          </w:p>
        </w:tc>
      </w:tr>
      <w:tr w:rsidR="00A022A7" w:rsidRPr="003204DC" w14:paraId="29926D5E" w14:textId="77777777" w:rsidTr="003247AA">
        <w:tc>
          <w:tcPr>
            <w:tcW w:w="1795" w:type="dxa"/>
          </w:tcPr>
          <w:p w14:paraId="6E814510" w14:textId="74F3D1CE" w:rsidR="00892701" w:rsidRPr="00F53B74" w:rsidRDefault="00892701" w:rsidP="00593F75">
            <w:pPr>
              <w:pStyle w:val="ListParagraph"/>
              <w:numPr>
                <w:ilvl w:val="0"/>
                <w:numId w:val="28"/>
              </w:numPr>
              <w:ind w:left="252" w:hanging="270"/>
              <w:rPr>
                <w:rFonts w:cstheme="minorHAnsi"/>
                <w:b/>
                <w:bCs/>
                <w:i/>
                <w:iCs/>
                <w:color w:val="FF0000"/>
                <w:sz w:val="20"/>
                <w:szCs w:val="20"/>
              </w:rPr>
            </w:pPr>
            <w:r w:rsidRPr="00F53B74">
              <w:rPr>
                <w:rFonts w:cstheme="minorHAnsi"/>
                <w:b/>
                <w:bCs/>
                <w:sz w:val="20"/>
                <w:szCs w:val="20"/>
              </w:rPr>
              <w:t>Sabbatical-related financial support</w:t>
            </w:r>
            <w:r w:rsidR="008B2762" w:rsidRPr="00F53B74">
              <w:rPr>
                <w:rFonts w:cstheme="minorHAnsi"/>
                <w:b/>
                <w:bCs/>
                <w:sz w:val="20"/>
                <w:szCs w:val="20"/>
              </w:rPr>
              <w:t xml:space="preserve"> (full time and pro-rata faculty)</w:t>
            </w:r>
          </w:p>
        </w:tc>
        <w:tc>
          <w:tcPr>
            <w:tcW w:w="4639" w:type="dxa"/>
          </w:tcPr>
          <w:p w14:paraId="70436D92" w14:textId="3B58561F" w:rsidR="00892701" w:rsidRPr="00F53B74" w:rsidRDefault="00781B26" w:rsidP="00557BC5">
            <w:pPr>
              <w:pStyle w:val="Heading2"/>
              <w:rPr>
                <w:rFonts w:cstheme="minorHAnsi"/>
                <w:i/>
                <w:iCs/>
                <w:color w:val="FF0000"/>
                <w:sz w:val="20"/>
                <w:szCs w:val="20"/>
              </w:rPr>
            </w:pPr>
            <w:r w:rsidRPr="00F53B74">
              <w:rPr>
                <w:rFonts w:asciiTheme="minorHAnsi" w:hAnsiTheme="minorHAnsi" w:cstheme="minorHAnsi"/>
                <w:color w:val="auto"/>
                <w:sz w:val="20"/>
                <w:szCs w:val="20"/>
              </w:rPr>
              <w:t xml:space="preserve">Awards are given to support activity during a sabbatical. At the current time, a maximum of $2,000 may be awarded per sabbatical. As stated in the faculty manual, any changes in sabbatical activities must be approved by the Provost’s Office. If changes occur to your sabbatical activities (e.g., new opportunities arise) and you have not received the full allotment of funds (max $2,000), you may submit a new request for funding to PDC. </w:t>
            </w:r>
            <w:r w:rsidR="00D9401A" w:rsidRPr="00F53B74">
              <w:rPr>
                <w:rFonts w:asciiTheme="minorHAnsi" w:hAnsiTheme="minorHAnsi" w:cstheme="minorHAnsi"/>
                <w:color w:val="auto"/>
                <w:sz w:val="20"/>
                <w:szCs w:val="20"/>
              </w:rPr>
              <w:t xml:space="preserve"> (NOTE: these awards are separate from the sabbatical request process. The Provost’s Office will periodically announce sabbatical request opportunities).</w:t>
            </w:r>
          </w:p>
        </w:tc>
        <w:tc>
          <w:tcPr>
            <w:tcW w:w="1701" w:type="dxa"/>
          </w:tcPr>
          <w:p w14:paraId="5F54A8D6" w14:textId="4DD866AD" w:rsidR="00D7679A" w:rsidRPr="00F53B74" w:rsidRDefault="00EE6DF0" w:rsidP="00892701">
            <w:pPr>
              <w:rPr>
                <w:rFonts w:cstheme="minorHAnsi"/>
                <w:sz w:val="20"/>
                <w:szCs w:val="20"/>
              </w:rPr>
            </w:pPr>
            <w:r w:rsidRPr="00F53B74">
              <w:rPr>
                <w:rFonts w:eastAsiaTheme="majorEastAsia" w:cstheme="minorHAnsi"/>
                <w:sz w:val="20"/>
                <w:szCs w:val="20"/>
              </w:rPr>
              <w:t>Once</w:t>
            </w:r>
            <w:r w:rsidR="00622A71" w:rsidRPr="00F53B74">
              <w:rPr>
                <w:rFonts w:eastAsiaTheme="majorEastAsia" w:cstheme="minorHAnsi"/>
                <w:sz w:val="20"/>
                <w:szCs w:val="20"/>
              </w:rPr>
              <w:t xml:space="preserve"> your sabbatical has been approved</w:t>
            </w:r>
            <w:r w:rsidR="00A03236" w:rsidRPr="00F53B74">
              <w:rPr>
                <w:rFonts w:eastAsiaTheme="majorEastAsia" w:cstheme="minorHAnsi"/>
                <w:sz w:val="20"/>
                <w:szCs w:val="20"/>
              </w:rPr>
              <w:t>,</w:t>
            </w:r>
            <w:r w:rsidR="00622A71" w:rsidRPr="00F53B74">
              <w:rPr>
                <w:rFonts w:eastAsiaTheme="majorEastAsia" w:cstheme="minorHAnsi"/>
                <w:sz w:val="20"/>
                <w:szCs w:val="20"/>
              </w:rPr>
              <w:t xml:space="preserve"> you may </w:t>
            </w:r>
            <w:r w:rsidR="00D9401A" w:rsidRPr="00F53B74">
              <w:rPr>
                <w:rFonts w:eastAsiaTheme="majorEastAsia" w:cstheme="minorHAnsi"/>
                <w:color w:val="2E74B5" w:themeColor="accent1" w:themeShade="BF"/>
                <w:sz w:val="20"/>
                <w:szCs w:val="20"/>
                <w:highlight w:val="green"/>
              </w:rPr>
              <w:t>HERE</w:t>
            </w:r>
            <w:r w:rsidR="00622A71" w:rsidRPr="00F53B74">
              <w:rPr>
                <w:rFonts w:eastAsiaTheme="majorEastAsia" w:cstheme="minorHAnsi"/>
                <w:sz w:val="20"/>
                <w:szCs w:val="20"/>
              </w:rPr>
              <w:t xml:space="preserve"> to apply for funding</w:t>
            </w:r>
            <w:r w:rsidR="008641B4" w:rsidRPr="00F53B74">
              <w:rPr>
                <w:rFonts w:eastAsiaTheme="majorEastAsia" w:cstheme="minorHAnsi"/>
                <w:sz w:val="20"/>
                <w:szCs w:val="20"/>
              </w:rPr>
              <w:t>.</w:t>
            </w:r>
            <w:r w:rsidR="00C84F9B" w:rsidRPr="00F53B74">
              <w:rPr>
                <w:rFonts w:cstheme="minorHAnsi"/>
                <w:sz w:val="20"/>
                <w:szCs w:val="20"/>
              </w:rPr>
              <w:t xml:space="preserve"> </w:t>
            </w:r>
            <w:r w:rsidR="00A13F4D" w:rsidRPr="00F53B74">
              <w:rPr>
                <w:rFonts w:cstheme="minorHAnsi"/>
                <w:sz w:val="20"/>
                <w:szCs w:val="20"/>
              </w:rPr>
              <w:t>P</w:t>
            </w:r>
            <w:r w:rsidR="00C84F9B" w:rsidRPr="00F53B74">
              <w:rPr>
                <w:rFonts w:cstheme="minorHAnsi"/>
                <w:sz w:val="20"/>
                <w:szCs w:val="20"/>
              </w:rPr>
              <w:t>roposals are due to PDC by the last day of classes prior to the beginning of the sabbatical.</w:t>
            </w:r>
          </w:p>
          <w:p w14:paraId="65CF767E" w14:textId="52A2B8C5" w:rsidR="00097D7F" w:rsidRPr="00F53B74" w:rsidRDefault="00097D7F" w:rsidP="00892701">
            <w:pPr>
              <w:rPr>
                <w:rFonts w:eastAsiaTheme="majorEastAsia" w:cstheme="minorHAnsi"/>
                <w:sz w:val="20"/>
                <w:szCs w:val="20"/>
              </w:rPr>
            </w:pPr>
          </w:p>
        </w:tc>
        <w:tc>
          <w:tcPr>
            <w:tcW w:w="1220" w:type="dxa"/>
          </w:tcPr>
          <w:p w14:paraId="6301B4BC" w14:textId="7A39A29A" w:rsidR="00892701" w:rsidRPr="00F53B74" w:rsidRDefault="00892701" w:rsidP="00892701">
            <w:pPr>
              <w:rPr>
                <w:rFonts w:cstheme="minorHAnsi"/>
                <w:i/>
                <w:iCs/>
                <w:color w:val="FF0000"/>
                <w:sz w:val="20"/>
                <w:szCs w:val="20"/>
              </w:rPr>
            </w:pPr>
            <w:r w:rsidRPr="00F53B74">
              <w:rPr>
                <w:rFonts w:cstheme="minorHAnsi"/>
                <w:sz w:val="20"/>
                <w:szCs w:val="20"/>
              </w:rPr>
              <w:t>PDC</w:t>
            </w:r>
          </w:p>
        </w:tc>
        <w:tc>
          <w:tcPr>
            <w:tcW w:w="1440" w:type="dxa"/>
          </w:tcPr>
          <w:p w14:paraId="537F7EE4" w14:textId="1C6246D7" w:rsidR="00892701" w:rsidRPr="00F53B74" w:rsidRDefault="005C11D8" w:rsidP="00892701">
            <w:pPr>
              <w:rPr>
                <w:rFonts w:cstheme="minorHAnsi"/>
                <w:i/>
                <w:iCs/>
                <w:color w:val="FF0000"/>
                <w:sz w:val="20"/>
                <w:szCs w:val="20"/>
              </w:rPr>
            </w:pPr>
            <w:r w:rsidRPr="00F53B74">
              <w:rPr>
                <w:rFonts w:cstheme="minorHAnsi"/>
                <w:sz w:val="20"/>
                <w:szCs w:val="20"/>
              </w:rPr>
              <w:t xml:space="preserve">PDC </w:t>
            </w:r>
            <w:r w:rsidR="009927B9" w:rsidRPr="00F53B74">
              <w:rPr>
                <w:rFonts w:cstheme="minorHAnsi"/>
                <w:sz w:val="20"/>
                <w:szCs w:val="20"/>
              </w:rPr>
              <w:t xml:space="preserve">(paid from </w:t>
            </w:r>
            <w:r w:rsidRPr="00F53B74">
              <w:rPr>
                <w:rFonts w:cstheme="minorHAnsi"/>
                <w:sz w:val="20"/>
                <w:szCs w:val="20"/>
              </w:rPr>
              <w:t>the PDC restricted fund</w:t>
            </w:r>
            <w:r w:rsidR="00EE6DF0" w:rsidRPr="00F53B74">
              <w:rPr>
                <w:rFonts w:cstheme="minorHAnsi"/>
                <w:sz w:val="20"/>
                <w:szCs w:val="20"/>
              </w:rPr>
              <w:t>, 12-45900</w:t>
            </w:r>
            <w:r w:rsidR="009927B9" w:rsidRPr="00F53B74">
              <w:rPr>
                <w:rFonts w:cstheme="minorHAnsi"/>
                <w:sz w:val="20"/>
                <w:szCs w:val="20"/>
              </w:rPr>
              <w:t>)</w:t>
            </w:r>
          </w:p>
        </w:tc>
      </w:tr>
      <w:tr w:rsidR="00A022A7" w:rsidRPr="003204DC" w14:paraId="7C5C5001" w14:textId="77777777" w:rsidTr="003247AA">
        <w:tc>
          <w:tcPr>
            <w:tcW w:w="1795" w:type="dxa"/>
          </w:tcPr>
          <w:p w14:paraId="33016E73" w14:textId="69291A42" w:rsidR="00892701" w:rsidRPr="0015364D" w:rsidRDefault="00CF6646" w:rsidP="00D9401A">
            <w:pPr>
              <w:pStyle w:val="ListParagraph"/>
              <w:numPr>
                <w:ilvl w:val="0"/>
                <w:numId w:val="28"/>
              </w:numPr>
              <w:ind w:left="252" w:hanging="252"/>
              <w:rPr>
                <w:rFonts w:cstheme="minorHAnsi"/>
                <w:i/>
                <w:iCs/>
                <w:sz w:val="20"/>
                <w:szCs w:val="20"/>
              </w:rPr>
            </w:pPr>
            <w:r w:rsidRPr="0015364D">
              <w:rPr>
                <w:rFonts w:cstheme="minorHAnsi"/>
                <w:b/>
                <w:bCs/>
                <w:sz w:val="20"/>
                <w:szCs w:val="20"/>
              </w:rPr>
              <w:t xml:space="preserve">Faculty </w:t>
            </w:r>
            <w:r w:rsidR="00892701" w:rsidRPr="0015364D">
              <w:rPr>
                <w:rFonts w:cstheme="minorHAnsi"/>
                <w:b/>
                <w:bCs/>
                <w:sz w:val="20"/>
                <w:szCs w:val="20"/>
              </w:rPr>
              <w:t>Scholar</w:t>
            </w:r>
            <w:r w:rsidRPr="0015364D">
              <w:rPr>
                <w:rFonts w:cstheme="minorHAnsi"/>
                <w:b/>
                <w:bCs/>
                <w:sz w:val="20"/>
                <w:szCs w:val="20"/>
              </w:rPr>
              <w:t>ly Development</w:t>
            </w:r>
            <w:r w:rsidR="00D9401A" w:rsidRPr="0015364D">
              <w:rPr>
                <w:rFonts w:cstheme="minorHAnsi"/>
                <w:sz w:val="20"/>
                <w:szCs w:val="20"/>
              </w:rPr>
              <w:t xml:space="preserve"> (formerly known as “Scholarship”</w:t>
            </w:r>
            <w:r w:rsidR="0006230D" w:rsidRPr="0015364D">
              <w:rPr>
                <w:rFonts w:cstheme="minorHAnsi"/>
                <w:sz w:val="20"/>
                <w:szCs w:val="20"/>
              </w:rPr>
              <w:t>)</w:t>
            </w:r>
          </w:p>
        </w:tc>
        <w:tc>
          <w:tcPr>
            <w:tcW w:w="4639" w:type="dxa"/>
          </w:tcPr>
          <w:p w14:paraId="76BE525C" w14:textId="278C2B16" w:rsidR="00FA396F" w:rsidRPr="0015364D" w:rsidRDefault="00FA396F" w:rsidP="00593F75">
            <w:pPr>
              <w:pStyle w:val="ListParagraph"/>
              <w:ind w:left="0"/>
              <w:rPr>
                <w:rFonts w:cstheme="minorHAnsi"/>
                <w:sz w:val="20"/>
                <w:szCs w:val="20"/>
              </w:rPr>
            </w:pPr>
            <w:r w:rsidRPr="0015364D">
              <w:rPr>
                <w:rFonts w:cstheme="minorHAnsi"/>
                <w:sz w:val="20"/>
                <w:szCs w:val="20"/>
              </w:rPr>
              <w:t xml:space="preserve">Awards are given to support tangible scholarship proposals or projects </w:t>
            </w:r>
            <w:r w:rsidRPr="0015364D">
              <w:rPr>
                <w:rFonts w:cstheme="minorHAnsi"/>
                <w:i/>
                <w:iCs/>
                <w:sz w:val="20"/>
                <w:szCs w:val="20"/>
              </w:rPr>
              <w:t>directly related to courses</w:t>
            </w:r>
            <w:r w:rsidRPr="0015364D">
              <w:rPr>
                <w:rFonts w:cstheme="minorHAnsi"/>
                <w:sz w:val="20"/>
                <w:szCs w:val="20"/>
              </w:rPr>
              <w:t>.  Proposals will be considered in April. </w:t>
            </w:r>
            <w:r w:rsidR="002F118E" w:rsidRPr="0015364D">
              <w:rPr>
                <w:rFonts w:cstheme="minorHAnsi"/>
                <w:sz w:val="20"/>
                <w:szCs w:val="20"/>
              </w:rPr>
              <w:t>Up</w:t>
            </w:r>
            <w:r w:rsidRPr="0015364D">
              <w:rPr>
                <w:rFonts w:cstheme="minorHAnsi"/>
                <w:sz w:val="20"/>
                <w:szCs w:val="20"/>
              </w:rPr>
              <w:t xml:space="preserve"> to $2,000 may be awarded pending available funds.</w:t>
            </w:r>
          </w:p>
          <w:p w14:paraId="58F7137C" w14:textId="77777777" w:rsidR="00892701" w:rsidRPr="0015364D" w:rsidRDefault="00892701" w:rsidP="00892701">
            <w:pPr>
              <w:rPr>
                <w:rFonts w:cstheme="minorHAnsi"/>
                <w:i/>
                <w:iCs/>
                <w:sz w:val="20"/>
                <w:szCs w:val="20"/>
              </w:rPr>
            </w:pPr>
          </w:p>
        </w:tc>
        <w:tc>
          <w:tcPr>
            <w:tcW w:w="1701" w:type="dxa"/>
          </w:tcPr>
          <w:p w14:paraId="19B3507E" w14:textId="612CE4C2" w:rsidR="00892701" w:rsidRPr="0015364D" w:rsidRDefault="00892701" w:rsidP="00892701">
            <w:pPr>
              <w:rPr>
                <w:rFonts w:cstheme="minorHAnsi"/>
                <w:i/>
                <w:iCs/>
                <w:sz w:val="20"/>
                <w:szCs w:val="20"/>
              </w:rPr>
            </w:pPr>
            <w:r w:rsidRPr="0015364D">
              <w:rPr>
                <w:rFonts w:cstheme="minorHAnsi"/>
                <w:sz w:val="20"/>
                <w:szCs w:val="20"/>
              </w:rPr>
              <w:t xml:space="preserve">apply </w:t>
            </w:r>
            <w:r w:rsidR="00576317" w:rsidRPr="0015364D">
              <w:rPr>
                <w:rFonts w:cstheme="minorHAnsi"/>
                <w:color w:val="0070C0"/>
                <w:sz w:val="20"/>
                <w:szCs w:val="20"/>
                <w:highlight w:val="green"/>
              </w:rPr>
              <w:t>HERE</w:t>
            </w:r>
            <w:r w:rsidR="00576317" w:rsidRPr="0015364D">
              <w:rPr>
                <w:rFonts w:cstheme="minorHAnsi"/>
                <w:sz w:val="20"/>
                <w:szCs w:val="20"/>
              </w:rPr>
              <w:t xml:space="preserve">, </w:t>
            </w:r>
            <w:r w:rsidRPr="0015364D">
              <w:rPr>
                <w:rFonts w:cstheme="minorHAnsi"/>
                <w:sz w:val="20"/>
                <w:szCs w:val="20"/>
              </w:rPr>
              <w:t>through the PDC portal</w:t>
            </w:r>
          </w:p>
        </w:tc>
        <w:tc>
          <w:tcPr>
            <w:tcW w:w="1220" w:type="dxa"/>
          </w:tcPr>
          <w:p w14:paraId="0F23C074" w14:textId="6AC1065F" w:rsidR="00892701" w:rsidRPr="0015364D" w:rsidRDefault="00591547" w:rsidP="00892701">
            <w:pPr>
              <w:rPr>
                <w:rFonts w:cstheme="minorHAnsi"/>
                <w:sz w:val="20"/>
                <w:szCs w:val="20"/>
              </w:rPr>
            </w:pPr>
            <w:r w:rsidRPr="0015364D">
              <w:rPr>
                <w:rFonts w:cstheme="minorHAnsi"/>
                <w:sz w:val="20"/>
                <w:szCs w:val="20"/>
              </w:rPr>
              <w:t xml:space="preserve">The </w:t>
            </w:r>
            <w:proofErr w:type="gramStart"/>
            <w:r w:rsidRPr="0015364D">
              <w:rPr>
                <w:rFonts w:cstheme="minorHAnsi"/>
                <w:sz w:val="20"/>
                <w:szCs w:val="20"/>
              </w:rPr>
              <w:t>Provost</w:t>
            </w:r>
            <w:proofErr w:type="gramEnd"/>
            <w:r w:rsidRPr="0015364D">
              <w:rPr>
                <w:rFonts w:cstheme="minorHAnsi"/>
                <w:sz w:val="20"/>
                <w:szCs w:val="20"/>
              </w:rPr>
              <w:t xml:space="preserve"> reviews the proposals and makes the final decision on funding.</w:t>
            </w:r>
          </w:p>
        </w:tc>
        <w:tc>
          <w:tcPr>
            <w:tcW w:w="1440" w:type="dxa"/>
          </w:tcPr>
          <w:p w14:paraId="699ACAF9" w14:textId="453F17F7" w:rsidR="00892701" w:rsidRPr="0015364D" w:rsidRDefault="004B4951" w:rsidP="00892701">
            <w:pPr>
              <w:rPr>
                <w:rFonts w:cstheme="minorHAnsi"/>
                <w:b/>
                <w:bCs/>
                <w:sz w:val="20"/>
                <w:szCs w:val="20"/>
              </w:rPr>
            </w:pPr>
            <w:r w:rsidRPr="0015364D">
              <w:rPr>
                <w:rFonts w:cstheme="minorHAnsi"/>
                <w:sz w:val="20"/>
                <w:szCs w:val="20"/>
              </w:rPr>
              <w:t>Provost (11-45900 fund)</w:t>
            </w:r>
          </w:p>
        </w:tc>
      </w:tr>
      <w:tr w:rsidR="00A022A7" w:rsidRPr="003204DC" w14:paraId="3B4EC16E" w14:textId="77777777" w:rsidTr="003247AA">
        <w:tc>
          <w:tcPr>
            <w:tcW w:w="1795" w:type="dxa"/>
          </w:tcPr>
          <w:p w14:paraId="01FC5AF9" w14:textId="19221ABE" w:rsidR="00892701" w:rsidRPr="0015364D" w:rsidRDefault="00892701" w:rsidP="00593F75">
            <w:pPr>
              <w:pStyle w:val="ListParagraph"/>
              <w:numPr>
                <w:ilvl w:val="0"/>
                <w:numId w:val="28"/>
              </w:numPr>
              <w:ind w:left="252" w:hanging="252"/>
              <w:rPr>
                <w:rFonts w:cstheme="minorHAnsi"/>
                <w:i/>
                <w:iCs/>
                <w:sz w:val="20"/>
                <w:szCs w:val="20"/>
              </w:rPr>
            </w:pPr>
            <w:r w:rsidRPr="0015364D">
              <w:rPr>
                <w:rFonts w:cstheme="minorHAnsi"/>
                <w:b/>
                <w:bCs/>
                <w:sz w:val="20"/>
                <w:szCs w:val="20"/>
              </w:rPr>
              <w:lastRenderedPageBreak/>
              <w:t>Curriculum Development</w:t>
            </w:r>
            <w:r w:rsidR="0006230D" w:rsidRPr="0015364D">
              <w:rPr>
                <w:rFonts w:cstheme="minorHAnsi"/>
                <w:sz w:val="20"/>
                <w:szCs w:val="20"/>
                <w:u w:val="single"/>
              </w:rPr>
              <w:t xml:space="preserve"> </w:t>
            </w:r>
            <w:r w:rsidR="0006230D" w:rsidRPr="0015364D">
              <w:rPr>
                <w:rFonts w:cstheme="minorHAnsi"/>
                <w:sz w:val="20"/>
                <w:szCs w:val="20"/>
              </w:rPr>
              <w:t>(formerly known as “</w:t>
            </w:r>
            <w:r w:rsidR="007E6C6E" w:rsidRPr="0015364D">
              <w:rPr>
                <w:rFonts w:cstheme="minorHAnsi"/>
                <w:sz w:val="20"/>
                <w:szCs w:val="20"/>
              </w:rPr>
              <w:t>Curriculum</w:t>
            </w:r>
            <w:r w:rsidR="0006230D" w:rsidRPr="0015364D">
              <w:rPr>
                <w:rFonts w:cstheme="minorHAnsi"/>
                <w:sz w:val="20"/>
                <w:szCs w:val="20"/>
              </w:rPr>
              <w:t>”)</w:t>
            </w:r>
          </w:p>
        </w:tc>
        <w:tc>
          <w:tcPr>
            <w:tcW w:w="4639" w:type="dxa"/>
          </w:tcPr>
          <w:p w14:paraId="6E55CA99" w14:textId="77777777" w:rsidR="002F118E" w:rsidRPr="0015364D" w:rsidRDefault="00FA2408" w:rsidP="002F118E">
            <w:pPr>
              <w:pStyle w:val="ListParagraph"/>
              <w:ind w:left="77"/>
              <w:rPr>
                <w:rFonts w:cstheme="minorHAnsi"/>
                <w:sz w:val="20"/>
                <w:szCs w:val="20"/>
              </w:rPr>
            </w:pPr>
            <w:r w:rsidRPr="0015364D">
              <w:rPr>
                <w:rFonts w:cstheme="minorHAnsi"/>
                <w:sz w:val="20"/>
                <w:szCs w:val="20"/>
              </w:rPr>
              <w:t xml:space="preserve">Funds are available to support the </w:t>
            </w:r>
            <w:r w:rsidRPr="0015364D">
              <w:rPr>
                <w:rFonts w:cstheme="minorHAnsi"/>
                <w:i/>
                <w:iCs/>
                <w:sz w:val="20"/>
                <w:szCs w:val="20"/>
              </w:rPr>
              <w:t>development of a new course or substantial revis</w:t>
            </w:r>
            <w:r w:rsidR="00EF6296" w:rsidRPr="0015364D">
              <w:rPr>
                <w:rFonts w:cstheme="minorHAnsi"/>
                <w:i/>
                <w:iCs/>
                <w:sz w:val="20"/>
                <w:szCs w:val="20"/>
              </w:rPr>
              <w:t>ion of</w:t>
            </w:r>
            <w:r w:rsidRPr="0015364D">
              <w:rPr>
                <w:rFonts w:cstheme="minorHAnsi"/>
                <w:i/>
                <w:iCs/>
                <w:sz w:val="20"/>
                <w:szCs w:val="20"/>
              </w:rPr>
              <w:t xml:space="preserve"> an existing one</w:t>
            </w:r>
            <w:r w:rsidRPr="0015364D">
              <w:rPr>
                <w:rFonts w:cstheme="minorHAnsi"/>
                <w:sz w:val="20"/>
                <w:szCs w:val="20"/>
              </w:rPr>
              <w:t xml:space="preserve">. Funds can also be used to support scholarly inquiry. Proposals will be considered in April. </w:t>
            </w:r>
            <w:r w:rsidR="002F118E" w:rsidRPr="0015364D">
              <w:rPr>
                <w:rFonts w:cstheme="minorHAnsi"/>
                <w:sz w:val="20"/>
                <w:szCs w:val="20"/>
              </w:rPr>
              <w:t>Up to $2,000 may be awarded pending available funds.</w:t>
            </w:r>
          </w:p>
          <w:p w14:paraId="4263B040" w14:textId="6C4A47C4" w:rsidR="00FA2408" w:rsidRPr="0015364D" w:rsidRDefault="00FA2408" w:rsidP="00FA2408">
            <w:pPr>
              <w:ind w:left="70"/>
              <w:rPr>
                <w:rFonts w:cstheme="minorHAnsi"/>
                <w:sz w:val="20"/>
                <w:szCs w:val="20"/>
              </w:rPr>
            </w:pPr>
            <w:r w:rsidRPr="0015364D">
              <w:rPr>
                <w:rFonts w:cstheme="minorHAnsi"/>
                <w:sz w:val="20"/>
                <w:szCs w:val="20"/>
              </w:rPr>
              <w:t xml:space="preserve">A budget needs to be provided stipulating how the funds will be spent. Stipends are not funded, but materials (texts, software) related to course development or gathering data related to scholarship or associated professional development (visits to archives, attendance at a pertinent conference) may be considered. A proposal should clearly indicate the goals and likely outcomes of such a project. </w:t>
            </w:r>
          </w:p>
          <w:p w14:paraId="493AB02A" w14:textId="77777777" w:rsidR="00892701" w:rsidRPr="0015364D" w:rsidRDefault="00892701" w:rsidP="00892701">
            <w:pPr>
              <w:rPr>
                <w:rFonts w:cstheme="minorHAnsi"/>
                <w:i/>
                <w:iCs/>
                <w:sz w:val="20"/>
                <w:szCs w:val="20"/>
              </w:rPr>
            </w:pPr>
          </w:p>
        </w:tc>
        <w:tc>
          <w:tcPr>
            <w:tcW w:w="1701" w:type="dxa"/>
          </w:tcPr>
          <w:p w14:paraId="6B850D74" w14:textId="0B6FB10E" w:rsidR="00892701" w:rsidRPr="0015364D" w:rsidRDefault="00892701" w:rsidP="00892701">
            <w:pPr>
              <w:rPr>
                <w:rFonts w:cstheme="minorHAnsi"/>
                <w:i/>
                <w:iCs/>
                <w:sz w:val="20"/>
                <w:szCs w:val="20"/>
              </w:rPr>
            </w:pPr>
            <w:r w:rsidRPr="0015364D">
              <w:rPr>
                <w:rFonts w:cstheme="minorHAnsi"/>
                <w:sz w:val="20"/>
                <w:szCs w:val="20"/>
              </w:rPr>
              <w:t xml:space="preserve">apply </w:t>
            </w:r>
            <w:r w:rsidR="00576317" w:rsidRPr="0015364D">
              <w:rPr>
                <w:rFonts w:cstheme="minorHAnsi"/>
                <w:color w:val="0070C0"/>
                <w:sz w:val="20"/>
                <w:szCs w:val="20"/>
                <w:highlight w:val="green"/>
              </w:rPr>
              <w:t>HERE</w:t>
            </w:r>
            <w:r w:rsidR="00576317" w:rsidRPr="0015364D">
              <w:rPr>
                <w:rFonts w:cstheme="minorHAnsi"/>
                <w:sz w:val="20"/>
                <w:szCs w:val="20"/>
              </w:rPr>
              <w:t xml:space="preserve">, </w:t>
            </w:r>
            <w:r w:rsidRPr="0015364D">
              <w:rPr>
                <w:rFonts w:cstheme="minorHAnsi"/>
                <w:sz w:val="20"/>
                <w:szCs w:val="20"/>
              </w:rPr>
              <w:t>through the PDC portal</w:t>
            </w:r>
          </w:p>
        </w:tc>
        <w:tc>
          <w:tcPr>
            <w:tcW w:w="1220" w:type="dxa"/>
          </w:tcPr>
          <w:p w14:paraId="6A6215F2" w14:textId="79659141" w:rsidR="00892701" w:rsidRPr="0015364D" w:rsidRDefault="00591547" w:rsidP="00892701">
            <w:pPr>
              <w:rPr>
                <w:rFonts w:cstheme="minorHAnsi"/>
                <w:sz w:val="20"/>
                <w:szCs w:val="20"/>
              </w:rPr>
            </w:pPr>
            <w:r w:rsidRPr="0015364D">
              <w:rPr>
                <w:rFonts w:cstheme="minorHAnsi"/>
                <w:sz w:val="20"/>
                <w:szCs w:val="20"/>
              </w:rPr>
              <w:t xml:space="preserve">The </w:t>
            </w:r>
            <w:proofErr w:type="gramStart"/>
            <w:r w:rsidRPr="0015364D">
              <w:rPr>
                <w:rFonts w:cstheme="minorHAnsi"/>
                <w:sz w:val="20"/>
                <w:szCs w:val="20"/>
              </w:rPr>
              <w:t>Provost</w:t>
            </w:r>
            <w:proofErr w:type="gramEnd"/>
            <w:r w:rsidRPr="0015364D">
              <w:rPr>
                <w:rFonts w:cstheme="minorHAnsi"/>
                <w:sz w:val="20"/>
                <w:szCs w:val="20"/>
              </w:rPr>
              <w:t xml:space="preserve"> reviews the proposals and makes the final decision on funding. </w:t>
            </w:r>
          </w:p>
        </w:tc>
        <w:tc>
          <w:tcPr>
            <w:tcW w:w="1440" w:type="dxa"/>
          </w:tcPr>
          <w:p w14:paraId="4FF0DA07" w14:textId="0BF796CC" w:rsidR="00892701" w:rsidRPr="0015364D" w:rsidRDefault="006E6027" w:rsidP="00892701">
            <w:pPr>
              <w:rPr>
                <w:rFonts w:cstheme="minorHAnsi"/>
                <w:sz w:val="20"/>
                <w:szCs w:val="20"/>
              </w:rPr>
            </w:pPr>
            <w:r w:rsidRPr="0015364D">
              <w:rPr>
                <w:rFonts w:cstheme="minorHAnsi"/>
                <w:sz w:val="20"/>
                <w:szCs w:val="20"/>
              </w:rPr>
              <w:t>Provost</w:t>
            </w:r>
            <w:r w:rsidR="00813471" w:rsidRPr="0015364D">
              <w:rPr>
                <w:rFonts w:cstheme="minorHAnsi"/>
                <w:sz w:val="20"/>
                <w:szCs w:val="20"/>
              </w:rPr>
              <w:t xml:space="preserve">’s, </w:t>
            </w:r>
            <w:r w:rsidR="0090326E" w:rsidRPr="0015364D">
              <w:rPr>
                <w:rFonts w:cstheme="minorHAnsi"/>
                <w:sz w:val="20"/>
                <w:szCs w:val="20"/>
              </w:rPr>
              <w:t>11-45900</w:t>
            </w:r>
            <w:r w:rsidR="00813471" w:rsidRPr="0015364D">
              <w:rPr>
                <w:rFonts w:cstheme="minorHAnsi"/>
                <w:sz w:val="20"/>
                <w:szCs w:val="20"/>
              </w:rPr>
              <w:t xml:space="preserve"> fund.</w:t>
            </w:r>
          </w:p>
        </w:tc>
      </w:tr>
      <w:tr w:rsidR="00A022A7" w:rsidRPr="003204DC" w14:paraId="78088C90" w14:textId="77777777" w:rsidTr="003247AA">
        <w:tc>
          <w:tcPr>
            <w:tcW w:w="1795" w:type="dxa"/>
          </w:tcPr>
          <w:p w14:paraId="707CC72D" w14:textId="1320F7F7" w:rsidR="00892701" w:rsidRPr="00F53B74" w:rsidRDefault="00892701" w:rsidP="00593F75">
            <w:pPr>
              <w:pStyle w:val="ListParagraph"/>
              <w:numPr>
                <w:ilvl w:val="0"/>
                <w:numId w:val="28"/>
              </w:numPr>
              <w:ind w:left="252" w:hanging="252"/>
              <w:rPr>
                <w:rFonts w:cstheme="minorHAnsi"/>
                <w:b/>
                <w:bCs/>
                <w:i/>
                <w:iCs/>
                <w:color w:val="FF0000"/>
                <w:sz w:val="20"/>
                <w:szCs w:val="20"/>
              </w:rPr>
            </w:pPr>
            <w:r w:rsidRPr="00F53B74">
              <w:rPr>
                <w:rFonts w:cstheme="minorHAnsi"/>
                <w:b/>
                <w:bCs/>
                <w:sz w:val="20"/>
                <w:szCs w:val="20"/>
              </w:rPr>
              <w:t>N</w:t>
            </w:r>
            <w:r w:rsidR="001B5FAB" w:rsidRPr="00F53B74">
              <w:rPr>
                <w:rFonts w:cstheme="minorHAnsi"/>
                <w:b/>
                <w:bCs/>
                <w:sz w:val="20"/>
                <w:szCs w:val="20"/>
              </w:rPr>
              <w:t>yce</w:t>
            </w:r>
            <w:r w:rsidR="0006230D" w:rsidRPr="00F53B74">
              <w:rPr>
                <w:rFonts w:cstheme="minorHAnsi"/>
                <w:b/>
                <w:bCs/>
                <w:sz w:val="20"/>
                <w:szCs w:val="20"/>
              </w:rPr>
              <w:t xml:space="preserve"> funds</w:t>
            </w:r>
          </w:p>
        </w:tc>
        <w:tc>
          <w:tcPr>
            <w:tcW w:w="4639" w:type="dxa"/>
          </w:tcPr>
          <w:p w14:paraId="36BBE4C2" w14:textId="66507181" w:rsidR="00D00144" w:rsidRPr="00F53B74" w:rsidRDefault="00D00144" w:rsidP="00D00144">
            <w:pPr>
              <w:rPr>
                <w:rFonts w:cstheme="minorHAnsi"/>
                <w:i/>
                <w:iCs/>
                <w:color w:val="093266"/>
                <w:sz w:val="20"/>
                <w:szCs w:val="20"/>
              </w:rPr>
            </w:pPr>
            <w:r w:rsidRPr="00F53B74">
              <w:rPr>
                <w:rFonts w:cstheme="minorHAnsi"/>
                <w:b/>
                <w:bCs/>
                <w:i/>
                <w:iCs/>
                <w:color w:val="093266"/>
                <w:sz w:val="20"/>
                <w:szCs w:val="20"/>
              </w:rPr>
              <w:t>William P. and Frances Clemens Nyce Endowment for Faculty Development (1988)</w:t>
            </w:r>
            <w:r w:rsidRPr="00F53B74">
              <w:rPr>
                <w:rFonts w:cstheme="minorHAnsi"/>
                <w:i/>
                <w:iCs/>
                <w:color w:val="093266"/>
                <w:sz w:val="20"/>
                <w:szCs w:val="20"/>
              </w:rPr>
              <w:t xml:space="preserve"> - William P. and Frances Clemens Nyce '48</w:t>
            </w:r>
            <w:r w:rsidR="00BA7DB3">
              <w:rPr>
                <w:rFonts w:cstheme="minorHAnsi"/>
                <w:i/>
                <w:iCs/>
                <w:color w:val="093266"/>
                <w:sz w:val="20"/>
                <w:szCs w:val="20"/>
              </w:rPr>
              <w:t>/</w:t>
            </w:r>
            <w:r w:rsidRPr="00F53B74">
              <w:rPr>
                <w:rFonts w:cstheme="minorHAnsi"/>
                <w:i/>
                <w:iCs/>
                <w:color w:val="093266"/>
                <w:sz w:val="20"/>
                <w:szCs w:val="20"/>
              </w:rPr>
              <w:t>'46, of Westminster, Maryland, have provided a generous endowment, the income from which is to be used for faculty development. It is intended that this income will foster educational creativity, expand global awareness, and promote the academic excellence of Juniata College. Support will be provided to faculty members who wish to enhance their understanding and teaching abilities with reference to Latin America. Funds will be awarded to projects designed for travel and study of the social, economic, political, cultural, and/or religious heritage of that region, and current realities of life for the people of Latin American countries.</w:t>
            </w:r>
          </w:p>
          <w:p w14:paraId="6143AB2F" w14:textId="77777777" w:rsidR="00D00144" w:rsidRPr="00F53B74" w:rsidRDefault="00D00144" w:rsidP="00D00144">
            <w:pPr>
              <w:rPr>
                <w:rFonts w:cstheme="minorHAnsi"/>
                <w:i/>
                <w:iCs/>
                <w:color w:val="093266"/>
                <w:sz w:val="20"/>
                <w:szCs w:val="20"/>
              </w:rPr>
            </w:pPr>
            <w:r w:rsidRPr="00F53B74">
              <w:rPr>
                <w:rFonts w:cstheme="minorHAnsi"/>
                <w:i/>
                <w:iCs/>
                <w:color w:val="093266"/>
                <w:sz w:val="20"/>
                <w:szCs w:val="20"/>
              </w:rPr>
              <w:t>Comments:</w:t>
            </w:r>
          </w:p>
          <w:p w14:paraId="7C0B1990" w14:textId="21C2FCEC" w:rsidR="00D00144" w:rsidRPr="00F53B74" w:rsidRDefault="00D00144" w:rsidP="003247AA">
            <w:pPr>
              <w:pStyle w:val="ListParagraph"/>
              <w:numPr>
                <w:ilvl w:val="0"/>
                <w:numId w:val="35"/>
              </w:numPr>
              <w:spacing w:after="160" w:line="259" w:lineRule="auto"/>
              <w:rPr>
                <w:rFonts w:cstheme="minorHAnsi"/>
                <w:i/>
                <w:iCs/>
                <w:color w:val="093266"/>
                <w:sz w:val="20"/>
                <w:szCs w:val="20"/>
              </w:rPr>
            </w:pPr>
            <w:r w:rsidRPr="00F53B74">
              <w:rPr>
                <w:rFonts w:cstheme="minorHAnsi"/>
                <w:i/>
                <w:iCs/>
                <w:color w:val="093266"/>
                <w:sz w:val="20"/>
                <w:szCs w:val="20"/>
              </w:rPr>
              <w:t xml:space="preserve">Latin speaking countries including the </w:t>
            </w:r>
            <w:proofErr w:type="gramStart"/>
            <w:r w:rsidRPr="00F53B74">
              <w:rPr>
                <w:rFonts w:cstheme="minorHAnsi"/>
                <w:i/>
                <w:iCs/>
                <w:color w:val="093266"/>
                <w:sz w:val="20"/>
                <w:szCs w:val="20"/>
              </w:rPr>
              <w:t>Caribbean</w:t>
            </w:r>
            <w:proofErr w:type="gramEnd"/>
          </w:p>
          <w:p w14:paraId="50E0B44E" w14:textId="4E2A5E74" w:rsidR="00D00144" w:rsidRPr="00F53B74" w:rsidRDefault="00D00144" w:rsidP="003247AA">
            <w:pPr>
              <w:pStyle w:val="ListParagraph"/>
              <w:numPr>
                <w:ilvl w:val="0"/>
                <w:numId w:val="35"/>
              </w:numPr>
              <w:spacing w:after="160" w:line="259" w:lineRule="auto"/>
              <w:rPr>
                <w:rFonts w:cstheme="minorHAnsi"/>
                <w:i/>
                <w:iCs/>
                <w:color w:val="093266"/>
                <w:sz w:val="20"/>
                <w:szCs w:val="20"/>
              </w:rPr>
            </w:pPr>
            <w:r w:rsidRPr="00F53B74">
              <w:rPr>
                <w:rFonts w:cstheme="minorHAnsi"/>
                <w:i/>
                <w:iCs/>
                <w:color w:val="093266"/>
                <w:sz w:val="20"/>
                <w:szCs w:val="20"/>
              </w:rPr>
              <w:t xml:space="preserve">Concern for the split between the rich and poor and the educated people of the country tend to be among the wealthy and </w:t>
            </w:r>
            <w:proofErr w:type="gramStart"/>
            <w:r w:rsidRPr="00F53B74">
              <w:rPr>
                <w:rFonts w:cstheme="minorHAnsi"/>
                <w:i/>
                <w:iCs/>
                <w:color w:val="093266"/>
                <w:sz w:val="20"/>
                <w:szCs w:val="20"/>
              </w:rPr>
              <w:t>powerful</w:t>
            </w:r>
            <w:proofErr w:type="gramEnd"/>
          </w:p>
          <w:p w14:paraId="5771EC13" w14:textId="20D32541" w:rsidR="00D00144" w:rsidRPr="00F53B74" w:rsidRDefault="00D00144" w:rsidP="003247AA">
            <w:pPr>
              <w:pStyle w:val="ListParagraph"/>
              <w:numPr>
                <w:ilvl w:val="0"/>
                <w:numId w:val="35"/>
              </w:numPr>
              <w:rPr>
                <w:rFonts w:cstheme="minorHAnsi"/>
                <w:i/>
                <w:iCs/>
                <w:color w:val="093266"/>
                <w:sz w:val="20"/>
                <w:szCs w:val="20"/>
              </w:rPr>
            </w:pPr>
            <w:r w:rsidRPr="00F53B74">
              <w:rPr>
                <w:rFonts w:cstheme="minorHAnsi"/>
                <w:i/>
                <w:iCs/>
                <w:color w:val="093266"/>
                <w:sz w:val="20"/>
                <w:szCs w:val="20"/>
              </w:rPr>
              <w:t xml:space="preserve">Faculty must be sensitive to the poor </w:t>
            </w:r>
            <w:proofErr w:type="gramStart"/>
            <w:r w:rsidRPr="00F53B74">
              <w:rPr>
                <w:rFonts w:cstheme="minorHAnsi"/>
                <w:i/>
                <w:iCs/>
                <w:color w:val="093266"/>
                <w:sz w:val="20"/>
                <w:szCs w:val="20"/>
              </w:rPr>
              <w:t>people</w:t>
            </w:r>
            <w:proofErr w:type="gramEnd"/>
          </w:p>
          <w:p w14:paraId="7DF1EB93" w14:textId="1A501E63" w:rsidR="00892701" w:rsidRPr="00F53B74" w:rsidRDefault="00D00144" w:rsidP="003247AA">
            <w:pPr>
              <w:pStyle w:val="ListParagraph"/>
              <w:numPr>
                <w:ilvl w:val="0"/>
                <w:numId w:val="33"/>
              </w:numPr>
              <w:rPr>
                <w:rFonts w:cstheme="minorHAnsi"/>
                <w:i/>
                <w:iCs/>
                <w:color w:val="093266"/>
                <w:sz w:val="20"/>
                <w:szCs w:val="20"/>
              </w:rPr>
            </w:pPr>
            <w:r w:rsidRPr="00F53B74">
              <w:rPr>
                <w:rFonts w:cstheme="minorHAnsi"/>
                <w:i/>
                <w:iCs/>
                <w:color w:val="093266"/>
                <w:sz w:val="20"/>
                <w:szCs w:val="20"/>
              </w:rPr>
              <w:t>Exposure of faculty members must be to the human dimensions - the realities of the people living there - not intended as solely intellectual or research experienc</w:t>
            </w:r>
            <w:r w:rsidR="003247AA" w:rsidRPr="00F53B74">
              <w:rPr>
                <w:rFonts w:cstheme="minorHAnsi"/>
                <w:i/>
                <w:iCs/>
                <w:color w:val="093266"/>
                <w:sz w:val="20"/>
                <w:szCs w:val="20"/>
              </w:rPr>
              <w:t>e.</w:t>
            </w:r>
          </w:p>
        </w:tc>
        <w:tc>
          <w:tcPr>
            <w:tcW w:w="1701" w:type="dxa"/>
          </w:tcPr>
          <w:p w14:paraId="44E76BB3" w14:textId="0ACE1B8E" w:rsidR="00892701" w:rsidRPr="00F53B74" w:rsidRDefault="00892701" w:rsidP="00892701">
            <w:pPr>
              <w:rPr>
                <w:rFonts w:cstheme="minorHAnsi"/>
                <w:i/>
                <w:iCs/>
                <w:color w:val="FF0000"/>
                <w:sz w:val="20"/>
                <w:szCs w:val="20"/>
              </w:rPr>
            </w:pPr>
            <w:r w:rsidRPr="00F53B74">
              <w:rPr>
                <w:rFonts w:cstheme="minorHAnsi"/>
                <w:sz w:val="20"/>
                <w:szCs w:val="20"/>
              </w:rPr>
              <w:t xml:space="preserve">apply </w:t>
            </w:r>
            <w:r w:rsidR="00576317" w:rsidRPr="00CF0C4C">
              <w:rPr>
                <w:rFonts w:cstheme="minorHAnsi"/>
                <w:color w:val="0070C0"/>
                <w:sz w:val="20"/>
                <w:szCs w:val="20"/>
                <w:highlight w:val="green"/>
              </w:rPr>
              <w:t>HERE</w:t>
            </w:r>
            <w:r w:rsidR="00576317" w:rsidRPr="00F53B74">
              <w:rPr>
                <w:rFonts w:cstheme="minorHAnsi"/>
                <w:sz w:val="20"/>
                <w:szCs w:val="20"/>
              </w:rPr>
              <w:t xml:space="preserve">, </w:t>
            </w:r>
            <w:r w:rsidRPr="00F53B74">
              <w:rPr>
                <w:rFonts w:cstheme="minorHAnsi"/>
                <w:sz w:val="20"/>
                <w:szCs w:val="20"/>
              </w:rPr>
              <w:t>through the PDC portal</w:t>
            </w:r>
          </w:p>
        </w:tc>
        <w:tc>
          <w:tcPr>
            <w:tcW w:w="1220" w:type="dxa"/>
          </w:tcPr>
          <w:p w14:paraId="5D116087" w14:textId="0573B02B" w:rsidR="00BA5D3F" w:rsidRPr="00593F75" w:rsidRDefault="0074356E" w:rsidP="00892701">
            <w:pPr>
              <w:rPr>
                <w:rFonts w:cstheme="minorHAnsi"/>
                <w:sz w:val="20"/>
                <w:szCs w:val="20"/>
              </w:rPr>
            </w:pPr>
            <w:r w:rsidRPr="00593F75">
              <w:rPr>
                <w:rFonts w:cstheme="minorHAnsi"/>
                <w:sz w:val="20"/>
                <w:szCs w:val="20"/>
              </w:rPr>
              <w:t>PDC manages this fund</w:t>
            </w:r>
            <w:r w:rsidR="00696B35" w:rsidRPr="00593F75">
              <w:rPr>
                <w:rFonts w:cstheme="minorHAnsi"/>
                <w:sz w:val="20"/>
                <w:szCs w:val="20"/>
              </w:rPr>
              <w:t xml:space="preserve"> in consultation with Provost</w:t>
            </w:r>
            <w:r w:rsidR="00827184" w:rsidRPr="00593F75">
              <w:rPr>
                <w:rFonts w:cstheme="minorHAnsi"/>
                <w:sz w:val="20"/>
                <w:szCs w:val="20"/>
              </w:rPr>
              <w:t>.</w:t>
            </w:r>
            <w:r w:rsidRPr="00593F75">
              <w:rPr>
                <w:rFonts w:cstheme="minorHAnsi"/>
                <w:sz w:val="20"/>
                <w:szCs w:val="20"/>
              </w:rPr>
              <w:t xml:space="preserve"> </w:t>
            </w:r>
            <w:r w:rsidR="00696B35" w:rsidRPr="00593F75">
              <w:rPr>
                <w:rFonts w:cstheme="minorHAnsi"/>
                <w:sz w:val="20"/>
                <w:szCs w:val="20"/>
              </w:rPr>
              <w:t xml:space="preserve"> </w:t>
            </w:r>
          </w:p>
          <w:p w14:paraId="67C31BD9" w14:textId="77777777" w:rsidR="00BA5D3F" w:rsidRPr="00F53B74" w:rsidRDefault="00BA5D3F" w:rsidP="00892701">
            <w:pPr>
              <w:rPr>
                <w:rFonts w:cstheme="minorHAnsi"/>
                <w:i/>
                <w:iCs/>
                <w:sz w:val="20"/>
                <w:szCs w:val="20"/>
              </w:rPr>
            </w:pPr>
          </w:p>
          <w:p w14:paraId="7D1B9142" w14:textId="423A1060" w:rsidR="00892701" w:rsidRPr="00F53B74" w:rsidRDefault="00892701" w:rsidP="00892701">
            <w:pPr>
              <w:rPr>
                <w:rFonts w:cstheme="minorHAnsi"/>
                <w:i/>
                <w:iCs/>
                <w:sz w:val="20"/>
                <w:szCs w:val="20"/>
              </w:rPr>
            </w:pPr>
          </w:p>
        </w:tc>
        <w:tc>
          <w:tcPr>
            <w:tcW w:w="1440" w:type="dxa"/>
          </w:tcPr>
          <w:p w14:paraId="25A08C03" w14:textId="6294089A" w:rsidR="00892701" w:rsidRPr="00F53B74" w:rsidRDefault="00892701" w:rsidP="00892701">
            <w:pPr>
              <w:rPr>
                <w:rFonts w:cstheme="minorHAnsi"/>
                <w:i/>
                <w:iCs/>
                <w:sz w:val="20"/>
                <w:szCs w:val="20"/>
              </w:rPr>
            </w:pPr>
            <w:r w:rsidRPr="00F53B74">
              <w:rPr>
                <w:rFonts w:cstheme="minorHAnsi"/>
                <w:i/>
                <w:iCs/>
                <w:sz w:val="20"/>
                <w:szCs w:val="20"/>
              </w:rPr>
              <w:t>??</w:t>
            </w:r>
          </w:p>
        </w:tc>
      </w:tr>
    </w:tbl>
    <w:p w14:paraId="4796B9C4" w14:textId="31AE5500" w:rsidR="00894E59" w:rsidRDefault="00894E59" w:rsidP="007D4C6F">
      <w:pPr>
        <w:rPr>
          <w:rFonts w:cstheme="minorHAnsi"/>
          <w:i/>
          <w:iCs/>
          <w:color w:val="FF0000"/>
          <w:sz w:val="20"/>
          <w:szCs w:val="20"/>
        </w:rPr>
      </w:pPr>
    </w:p>
    <w:p w14:paraId="5B7C4C6D" w14:textId="4500D3F1" w:rsidR="00FB24AA" w:rsidRPr="009603A6" w:rsidRDefault="00200998" w:rsidP="00FB24AA">
      <w:pPr>
        <w:spacing w:after="0" w:line="240" w:lineRule="auto"/>
        <w:rPr>
          <w:b/>
          <w:bCs/>
          <w:sz w:val="28"/>
          <w:szCs w:val="28"/>
        </w:rPr>
      </w:pPr>
      <w:r w:rsidRPr="009603A6">
        <w:rPr>
          <w:b/>
          <w:bCs/>
          <w:sz w:val="28"/>
          <w:szCs w:val="28"/>
        </w:rPr>
        <w:t>Other types of funding</w:t>
      </w:r>
      <w:r w:rsidR="00FE6291" w:rsidRPr="009603A6">
        <w:rPr>
          <w:b/>
          <w:bCs/>
          <w:sz w:val="28"/>
          <w:szCs w:val="28"/>
        </w:rPr>
        <w:t xml:space="preserve"> (not </w:t>
      </w:r>
      <w:r w:rsidR="00B81027" w:rsidRPr="009603A6">
        <w:rPr>
          <w:b/>
          <w:bCs/>
          <w:sz w:val="28"/>
          <w:szCs w:val="28"/>
        </w:rPr>
        <w:t>reviewed nor funded by PDC committee)</w:t>
      </w:r>
      <w:r w:rsidRPr="009603A6">
        <w:rPr>
          <w:b/>
          <w:bCs/>
          <w:sz w:val="28"/>
          <w:szCs w:val="28"/>
        </w:rPr>
        <w:t>:</w:t>
      </w:r>
    </w:p>
    <w:p w14:paraId="2283A268" w14:textId="77777777" w:rsidR="00EB5AFB" w:rsidRPr="003711F0" w:rsidRDefault="00EB5AFB" w:rsidP="0006230D">
      <w:pPr>
        <w:tabs>
          <w:tab w:val="left" w:pos="0"/>
        </w:tabs>
        <w:spacing w:after="0" w:line="240" w:lineRule="auto"/>
        <w:rPr>
          <w:rFonts w:cstheme="minorHAnsi"/>
          <w:sz w:val="20"/>
          <w:szCs w:val="20"/>
        </w:rPr>
      </w:pPr>
    </w:p>
    <w:p w14:paraId="5E4F2CF9" w14:textId="0EA6236A" w:rsidR="00F35D39" w:rsidRPr="003711F0" w:rsidRDefault="002A7ECD" w:rsidP="00C30A22">
      <w:pPr>
        <w:pStyle w:val="ListParagraph"/>
        <w:numPr>
          <w:ilvl w:val="0"/>
          <w:numId w:val="28"/>
        </w:numPr>
        <w:tabs>
          <w:tab w:val="left" w:pos="0"/>
        </w:tabs>
        <w:spacing w:after="0" w:line="240" w:lineRule="auto"/>
        <w:ind w:left="720"/>
        <w:rPr>
          <w:rFonts w:cstheme="minorHAnsi"/>
          <w:sz w:val="20"/>
          <w:szCs w:val="20"/>
        </w:rPr>
      </w:pPr>
      <w:r w:rsidRPr="004A3049">
        <w:rPr>
          <w:rFonts w:cstheme="minorHAnsi"/>
          <w:b/>
          <w:bCs/>
          <w:sz w:val="20"/>
          <w:szCs w:val="20"/>
          <w:u w:val="single"/>
        </w:rPr>
        <w:t>I</w:t>
      </w:r>
      <w:r w:rsidR="000A59E2" w:rsidRPr="004A3049">
        <w:rPr>
          <w:rFonts w:cstheme="minorHAnsi"/>
          <w:b/>
          <w:bCs/>
          <w:sz w:val="20"/>
          <w:szCs w:val="20"/>
          <w:u w:val="single"/>
        </w:rPr>
        <w:t>EI</w:t>
      </w:r>
      <w:r w:rsidRPr="004A3049">
        <w:rPr>
          <w:rFonts w:cstheme="minorHAnsi"/>
          <w:b/>
          <w:bCs/>
          <w:sz w:val="20"/>
          <w:szCs w:val="20"/>
          <w:u w:val="single"/>
        </w:rPr>
        <w:t xml:space="preserve"> (Innovative Educational Initiatives)</w:t>
      </w:r>
      <w:r w:rsidR="000A59E2" w:rsidRPr="003711F0">
        <w:rPr>
          <w:rFonts w:cstheme="minorHAnsi"/>
          <w:sz w:val="20"/>
          <w:szCs w:val="20"/>
        </w:rPr>
        <w:t xml:space="preserve"> </w:t>
      </w:r>
      <w:r w:rsidR="00D224D3" w:rsidRPr="003711F0">
        <w:rPr>
          <w:rFonts w:cstheme="minorHAnsi"/>
          <w:sz w:val="20"/>
          <w:szCs w:val="20"/>
        </w:rPr>
        <w:t>(</w:t>
      </w:r>
      <w:r w:rsidR="00D224D3" w:rsidRPr="003711F0">
        <w:rPr>
          <w:rFonts w:cstheme="minorHAnsi"/>
          <w:i/>
          <w:iCs/>
          <w:sz w:val="20"/>
          <w:szCs w:val="20"/>
        </w:rPr>
        <w:t>apply not through the PDC portal, but according to guidelines publicized by IEI</w:t>
      </w:r>
      <w:r w:rsidR="00D224D3" w:rsidRPr="003711F0">
        <w:rPr>
          <w:rFonts w:cstheme="minorHAnsi"/>
          <w:sz w:val="20"/>
          <w:szCs w:val="20"/>
        </w:rPr>
        <w:t>)</w:t>
      </w:r>
      <w:r w:rsidR="00826F03" w:rsidRPr="003711F0">
        <w:rPr>
          <w:rFonts w:cstheme="minorHAnsi"/>
          <w:sz w:val="20"/>
          <w:szCs w:val="20"/>
        </w:rPr>
        <w:t xml:space="preserve">. </w:t>
      </w:r>
      <w:r w:rsidR="00135B6B" w:rsidRPr="005207F3">
        <w:rPr>
          <w:rFonts w:cstheme="minorHAnsi"/>
          <w:sz w:val="20"/>
          <w:szCs w:val="20"/>
        </w:rPr>
        <w:t xml:space="preserve">IEI committee and Provost manage </w:t>
      </w:r>
      <w:r w:rsidR="00D81E5B" w:rsidRPr="005207F3">
        <w:rPr>
          <w:rFonts w:cstheme="minorHAnsi"/>
          <w:sz w:val="20"/>
          <w:szCs w:val="20"/>
        </w:rPr>
        <w:t>its</w:t>
      </w:r>
      <w:r w:rsidR="00135B6B" w:rsidRPr="005207F3">
        <w:rPr>
          <w:rFonts w:cstheme="minorHAnsi"/>
          <w:sz w:val="20"/>
          <w:szCs w:val="20"/>
        </w:rPr>
        <w:t xml:space="preserve"> restricted fund</w:t>
      </w:r>
      <w:r w:rsidR="00D81E5B" w:rsidRPr="005207F3">
        <w:rPr>
          <w:rFonts w:cstheme="minorHAnsi"/>
          <w:sz w:val="20"/>
          <w:szCs w:val="20"/>
        </w:rPr>
        <w:t>.</w:t>
      </w:r>
      <w:r w:rsidR="00135B6B">
        <w:rPr>
          <w:rFonts w:cstheme="minorHAnsi"/>
          <w:sz w:val="20"/>
          <w:szCs w:val="20"/>
        </w:rPr>
        <w:t xml:space="preserve"> </w:t>
      </w:r>
      <w:r w:rsidR="00826F03" w:rsidRPr="003711F0">
        <w:rPr>
          <w:rFonts w:cstheme="minorHAnsi"/>
          <w:color w:val="202124"/>
          <w:sz w:val="20"/>
          <w:szCs w:val="20"/>
          <w:shd w:val="clear" w:color="auto" w:fill="FFFFFF"/>
        </w:rPr>
        <w:t>The purpose of the IEI grant funding is to </w:t>
      </w:r>
      <w:r w:rsidR="00826F03" w:rsidRPr="003711F0">
        <w:rPr>
          <w:rFonts w:cstheme="minorHAnsi"/>
          <w:color w:val="040C28"/>
          <w:sz w:val="20"/>
          <w:szCs w:val="20"/>
        </w:rPr>
        <w:t>provide faculty members in any discipline resources to explore new teaching methods and create new courses of experiential opportunities for students</w:t>
      </w:r>
      <w:r w:rsidR="00826F03" w:rsidRPr="003711F0">
        <w:rPr>
          <w:rFonts w:cstheme="minorHAnsi"/>
          <w:color w:val="202124"/>
          <w:sz w:val="20"/>
          <w:szCs w:val="20"/>
          <w:shd w:val="clear" w:color="auto" w:fill="FFFFFF"/>
        </w:rPr>
        <w:t>. The review process is overseen by the IEI Committee, which is made up of retired faculty members.</w:t>
      </w:r>
    </w:p>
    <w:p w14:paraId="3D45D15A" w14:textId="77777777" w:rsidR="00EB5AFB" w:rsidRPr="003711F0" w:rsidRDefault="00EB5AFB" w:rsidP="00C30A22">
      <w:pPr>
        <w:tabs>
          <w:tab w:val="left" w:pos="0"/>
        </w:tabs>
        <w:spacing w:after="0" w:line="240" w:lineRule="auto"/>
        <w:ind w:left="720" w:hanging="360"/>
        <w:rPr>
          <w:rFonts w:cstheme="minorHAnsi"/>
          <w:sz w:val="20"/>
          <w:szCs w:val="20"/>
        </w:rPr>
      </w:pPr>
    </w:p>
    <w:p w14:paraId="48A149F7" w14:textId="67D5175B" w:rsidR="00F35D39" w:rsidRPr="003711F0" w:rsidRDefault="00D224D3" w:rsidP="00C30A22">
      <w:pPr>
        <w:pStyle w:val="ListParagraph"/>
        <w:numPr>
          <w:ilvl w:val="0"/>
          <w:numId w:val="28"/>
        </w:numPr>
        <w:tabs>
          <w:tab w:val="left" w:pos="0"/>
        </w:tabs>
        <w:spacing w:after="0" w:line="240" w:lineRule="auto"/>
        <w:ind w:left="720"/>
        <w:rPr>
          <w:rFonts w:cstheme="minorHAnsi"/>
          <w:sz w:val="20"/>
          <w:szCs w:val="20"/>
        </w:rPr>
      </w:pPr>
      <w:r w:rsidRPr="004A3049">
        <w:rPr>
          <w:rFonts w:cstheme="minorHAnsi"/>
          <w:b/>
          <w:bCs/>
          <w:sz w:val="20"/>
          <w:szCs w:val="20"/>
          <w:u w:val="single"/>
        </w:rPr>
        <w:t>SOTL</w:t>
      </w:r>
      <w:r w:rsidR="00033BBE" w:rsidRPr="004A3049">
        <w:rPr>
          <w:rFonts w:cstheme="minorHAnsi"/>
          <w:b/>
          <w:bCs/>
          <w:sz w:val="20"/>
          <w:szCs w:val="20"/>
          <w:u w:val="single"/>
        </w:rPr>
        <w:t xml:space="preserve"> (Scholarship of Teaching and Learning</w:t>
      </w:r>
      <w:r w:rsidR="00033BBE" w:rsidRPr="003711F0">
        <w:rPr>
          <w:rFonts w:cstheme="minorHAnsi"/>
          <w:sz w:val="20"/>
          <w:szCs w:val="20"/>
          <w:u w:val="single"/>
        </w:rPr>
        <w:t>)</w:t>
      </w:r>
      <w:r w:rsidRPr="003711F0">
        <w:rPr>
          <w:rFonts w:cstheme="minorHAnsi"/>
          <w:sz w:val="20"/>
          <w:szCs w:val="20"/>
        </w:rPr>
        <w:t xml:space="preserve"> (</w:t>
      </w:r>
      <w:r w:rsidRPr="003711F0">
        <w:rPr>
          <w:rFonts w:cstheme="minorHAnsi"/>
          <w:i/>
          <w:iCs/>
          <w:sz w:val="20"/>
          <w:szCs w:val="20"/>
        </w:rPr>
        <w:t>apply not through the PDC portal, but according to guidelines publicized by SOTL</w:t>
      </w:r>
      <w:r w:rsidRPr="003711F0">
        <w:rPr>
          <w:rFonts w:cstheme="minorHAnsi"/>
          <w:sz w:val="20"/>
          <w:szCs w:val="20"/>
        </w:rPr>
        <w:t>)</w:t>
      </w:r>
      <w:r w:rsidR="00FE6291" w:rsidRPr="003711F0">
        <w:rPr>
          <w:rFonts w:cstheme="minorHAnsi"/>
          <w:sz w:val="20"/>
          <w:szCs w:val="20"/>
        </w:rPr>
        <w:t xml:space="preserve">. </w:t>
      </w:r>
      <w:r w:rsidR="00996589" w:rsidRPr="003F6B40">
        <w:rPr>
          <w:rFonts w:cstheme="minorHAnsi"/>
          <w:sz w:val="20"/>
          <w:szCs w:val="20"/>
        </w:rPr>
        <w:t xml:space="preserve">The </w:t>
      </w:r>
      <w:r w:rsidR="0071334F" w:rsidRPr="003F6B40">
        <w:rPr>
          <w:rFonts w:cstheme="minorHAnsi"/>
          <w:sz w:val="20"/>
          <w:szCs w:val="20"/>
        </w:rPr>
        <w:t xml:space="preserve">James </w:t>
      </w:r>
      <w:r w:rsidR="00996589" w:rsidRPr="003F6B40">
        <w:rPr>
          <w:rFonts w:cstheme="minorHAnsi"/>
          <w:sz w:val="20"/>
          <w:szCs w:val="20"/>
        </w:rPr>
        <w:t>Lakso endowment pays for these.</w:t>
      </w:r>
      <w:r w:rsidR="00BE6DAF">
        <w:rPr>
          <w:rFonts w:cstheme="minorHAnsi"/>
          <w:sz w:val="20"/>
          <w:szCs w:val="20"/>
        </w:rPr>
        <w:t xml:space="preserve"> </w:t>
      </w:r>
      <w:r w:rsidR="00FE6291" w:rsidRPr="003711F0">
        <w:rPr>
          <w:rFonts w:cstheme="minorHAnsi"/>
          <w:color w:val="343741"/>
          <w:sz w:val="20"/>
          <w:szCs w:val="20"/>
          <w:shd w:val="clear" w:color="auto" w:fill="F8F9FB"/>
        </w:rPr>
        <w:t xml:space="preserve">The main purpose of the summer research grant is to facilitate the development of </w:t>
      </w:r>
      <w:proofErr w:type="spellStart"/>
      <w:r w:rsidR="00FE6291" w:rsidRPr="003711F0">
        <w:rPr>
          <w:rFonts w:cstheme="minorHAnsi"/>
          <w:color w:val="343741"/>
          <w:sz w:val="20"/>
          <w:szCs w:val="20"/>
          <w:shd w:val="clear" w:color="auto" w:fill="F8F9FB"/>
        </w:rPr>
        <w:t>SoTL</w:t>
      </w:r>
      <w:proofErr w:type="spellEnd"/>
      <w:r w:rsidR="00FE6291" w:rsidRPr="003711F0">
        <w:rPr>
          <w:rFonts w:cstheme="minorHAnsi"/>
          <w:color w:val="343741"/>
          <w:sz w:val="20"/>
          <w:szCs w:val="20"/>
          <w:shd w:val="clear" w:color="auto" w:fill="F8F9FB"/>
        </w:rPr>
        <w:t xml:space="preserve"> projects that will have the potential to be presented off-campus in some peer-reviewed</w:t>
      </w:r>
      <w:r w:rsidR="00D274C6" w:rsidRPr="003711F0">
        <w:rPr>
          <w:rFonts w:cstheme="minorHAnsi"/>
          <w:color w:val="343741"/>
          <w:sz w:val="20"/>
          <w:szCs w:val="20"/>
          <w:shd w:val="clear" w:color="auto" w:fill="F8F9FB"/>
        </w:rPr>
        <w:t xml:space="preserve"> </w:t>
      </w:r>
      <w:r w:rsidR="00FE6291" w:rsidRPr="003711F0">
        <w:rPr>
          <w:rFonts w:cstheme="minorHAnsi"/>
          <w:color w:val="343741"/>
          <w:sz w:val="20"/>
          <w:szCs w:val="20"/>
          <w:shd w:val="clear" w:color="auto" w:fill="F8F9FB"/>
        </w:rPr>
        <w:t xml:space="preserve">form </w:t>
      </w:r>
      <w:r w:rsidR="00FE6291" w:rsidRPr="003711F0">
        <w:rPr>
          <w:rFonts w:cstheme="minorHAnsi"/>
          <w:color w:val="343741"/>
          <w:sz w:val="20"/>
          <w:szCs w:val="20"/>
          <w:shd w:val="clear" w:color="auto" w:fill="F8F9FB"/>
        </w:rPr>
        <w:lastRenderedPageBreak/>
        <w:t>(either through presentation at a conference, or publication). However, we fund</w:t>
      </w:r>
      <w:r w:rsidR="00D274C6" w:rsidRPr="003711F0">
        <w:rPr>
          <w:rFonts w:cstheme="minorHAnsi"/>
          <w:color w:val="343741"/>
          <w:sz w:val="20"/>
          <w:szCs w:val="20"/>
          <w:shd w:val="clear" w:color="auto" w:fill="F8F9FB"/>
        </w:rPr>
        <w:t xml:space="preserve"> </w:t>
      </w:r>
      <w:proofErr w:type="spellStart"/>
      <w:r w:rsidR="00FE6291" w:rsidRPr="003711F0">
        <w:rPr>
          <w:rFonts w:cstheme="minorHAnsi"/>
          <w:color w:val="343741"/>
          <w:sz w:val="20"/>
          <w:szCs w:val="20"/>
          <w:shd w:val="clear" w:color="auto" w:fill="F8F9FB"/>
        </w:rPr>
        <w:t>SoTL</w:t>
      </w:r>
      <w:proofErr w:type="spellEnd"/>
      <w:r w:rsidR="00FE6291" w:rsidRPr="003711F0">
        <w:rPr>
          <w:rFonts w:cstheme="minorHAnsi"/>
          <w:color w:val="343741"/>
          <w:sz w:val="20"/>
          <w:szCs w:val="20"/>
          <w:shd w:val="clear" w:color="auto" w:fill="F8F9FB"/>
        </w:rPr>
        <w:t xml:space="preserve"> projects at all stages of development.</w:t>
      </w:r>
    </w:p>
    <w:p w14:paraId="7EB71EFD" w14:textId="77777777" w:rsidR="00EB5AFB" w:rsidRPr="003711F0" w:rsidRDefault="00EB5AFB" w:rsidP="0006230D">
      <w:pPr>
        <w:tabs>
          <w:tab w:val="left" w:pos="0"/>
        </w:tabs>
        <w:spacing w:after="0" w:line="240" w:lineRule="auto"/>
        <w:rPr>
          <w:rFonts w:cstheme="minorHAnsi"/>
          <w:sz w:val="20"/>
          <w:szCs w:val="20"/>
        </w:rPr>
      </w:pPr>
    </w:p>
    <w:p w14:paraId="7241875B" w14:textId="28304E08" w:rsidR="00F35D39" w:rsidRPr="003711F0" w:rsidRDefault="00D224D3" w:rsidP="0006230D">
      <w:pPr>
        <w:pStyle w:val="ListParagraph"/>
        <w:numPr>
          <w:ilvl w:val="0"/>
          <w:numId w:val="31"/>
        </w:numPr>
        <w:tabs>
          <w:tab w:val="left" w:pos="0"/>
        </w:tabs>
        <w:spacing w:after="0" w:line="240" w:lineRule="auto"/>
        <w:rPr>
          <w:rFonts w:cstheme="minorHAnsi"/>
          <w:sz w:val="20"/>
          <w:szCs w:val="20"/>
        </w:rPr>
      </w:pPr>
      <w:r w:rsidRPr="004A3049">
        <w:rPr>
          <w:rFonts w:cstheme="minorHAnsi"/>
          <w:b/>
          <w:bCs/>
          <w:sz w:val="20"/>
          <w:szCs w:val="20"/>
          <w:u w:val="single"/>
        </w:rPr>
        <w:t>WISE summer grants</w:t>
      </w:r>
      <w:r w:rsidRPr="0074386D">
        <w:rPr>
          <w:rFonts w:cstheme="minorHAnsi"/>
          <w:sz w:val="20"/>
          <w:szCs w:val="20"/>
        </w:rPr>
        <w:t xml:space="preserve"> (</w:t>
      </w:r>
      <w:r w:rsidRPr="0074386D">
        <w:rPr>
          <w:rFonts w:cstheme="minorHAnsi"/>
          <w:i/>
          <w:iCs/>
          <w:sz w:val="20"/>
          <w:szCs w:val="20"/>
        </w:rPr>
        <w:t>apply not through the PDC portal, but according to guidelines publicized by WISE</w:t>
      </w:r>
      <w:r w:rsidRPr="0074386D">
        <w:rPr>
          <w:rFonts w:cstheme="minorHAnsi"/>
          <w:sz w:val="20"/>
          <w:szCs w:val="20"/>
        </w:rPr>
        <w:t>)</w:t>
      </w:r>
      <w:r w:rsidR="00FE6291" w:rsidRPr="0074386D">
        <w:rPr>
          <w:rFonts w:cstheme="minorHAnsi"/>
          <w:sz w:val="20"/>
          <w:szCs w:val="20"/>
        </w:rPr>
        <w:t xml:space="preserve">. </w:t>
      </w:r>
      <w:r w:rsidR="0074356E" w:rsidRPr="0074386D">
        <w:rPr>
          <w:rFonts w:cstheme="minorHAnsi"/>
          <w:sz w:val="20"/>
          <w:szCs w:val="20"/>
        </w:rPr>
        <w:t xml:space="preserve">The </w:t>
      </w:r>
      <w:proofErr w:type="gramStart"/>
      <w:r w:rsidR="0074356E" w:rsidRPr="0074386D">
        <w:rPr>
          <w:rFonts w:cstheme="minorHAnsi"/>
          <w:sz w:val="20"/>
          <w:szCs w:val="20"/>
        </w:rPr>
        <w:t>Provost</w:t>
      </w:r>
      <w:proofErr w:type="gramEnd"/>
      <w:r w:rsidR="0074356E" w:rsidRPr="0074386D">
        <w:rPr>
          <w:rFonts w:cstheme="minorHAnsi"/>
          <w:sz w:val="20"/>
          <w:szCs w:val="20"/>
        </w:rPr>
        <w:t xml:space="preserve"> oversees this fund.</w:t>
      </w:r>
      <w:r w:rsidR="0074356E">
        <w:rPr>
          <w:rFonts w:cstheme="minorHAnsi"/>
          <w:sz w:val="20"/>
          <w:szCs w:val="20"/>
        </w:rPr>
        <w:t xml:space="preserve"> </w:t>
      </w:r>
      <w:r w:rsidR="00FE6291" w:rsidRPr="003711F0">
        <w:rPr>
          <w:rFonts w:cstheme="minorHAnsi"/>
          <w:color w:val="343741"/>
          <w:sz w:val="20"/>
          <w:szCs w:val="20"/>
          <w:shd w:val="clear" w:color="auto" w:fill="F8F9FB"/>
        </w:rPr>
        <w:t xml:space="preserve">Wise Summer Grants support proposals for scholarly projects on which substantial progress can be made during the summer. The project should lead to an identifiable outcome, such as a chapter in a book, an article in an academic publication, poems, a play, a short story, or a conference paper. The project may be part of a larger program of </w:t>
      </w:r>
      <w:proofErr w:type="gramStart"/>
      <w:r w:rsidR="00FE6291" w:rsidRPr="003711F0">
        <w:rPr>
          <w:rFonts w:cstheme="minorHAnsi"/>
          <w:color w:val="343741"/>
          <w:sz w:val="20"/>
          <w:szCs w:val="20"/>
          <w:shd w:val="clear" w:color="auto" w:fill="F8F9FB"/>
        </w:rPr>
        <w:t>research, but</w:t>
      </w:r>
      <w:proofErr w:type="gramEnd"/>
      <w:r w:rsidR="00FE6291" w:rsidRPr="003711F0">
        <w:rPr>
          <w:rFonts w:cstheme="minorHAnsi"/>
          <w:color w:val="343741"/>
          <w:sz w:val="20"/>
          <w:szCs w:val="20"/>
          <w:shd w:val="clear" w:color="auto" w:fill="F8F9FB"/>
        </w:rPr>
        <w:t xml:space="preserve"> should have a scope and expected result suited to the summer period.</w:t>
      </w:r>
    </w:p>
    <w:p w14:paraId="2422E42B" w14:textId="77777777" w:rsidR="009603A6" w:rsidRPr="003711F0" w:rsidRDefault="009603A6" w:rsidP="009603A6">
      <w:pPr>
        <w:pStyle w:val="ListParagraph"/>
        <w:tabs>
          <w:tab w:val="left" w:pos="0"/>
        </w:tabs>
        <w:spacing w:after="0" w:line="240" w:lineRule="auto"/>
        <w:rPr>
          <w:rFonts w:cstheme="minorHAnsi"/>
          <w:sz w:val="20"/>
          <w:szCs w:val="20"/>
        </w:rPr>
      </w:pPr>
    </w:p>
    <w:p w14:paraId="46559034" w14:textId="534DA7B6" w:rsidR="00D06CC4" w:rsidRPr="003711F0" w:rsidRDefault="00D06CC4" w:rsidP="00CD1214">
      <w:pPr>
        <w:pStyle w:val="ListParagraph"/>
        <w:numPr>
          <w:ilvl w:val="0"/>
          <w:numId w:val="31"/>
        </w:numPr>
        <w:spacing w:after="0" w:line="240" w:lineRule="auto"/>
        <w:rPr>
          <w:rFonts w:cstheme="minorHAnsi"/>
          <w:b/>
          <w:bCs/>
          <w:sz w:val="20"/>
          <w:szCs w:val="20"/>
        </w:rPr>
      </w:pPr>
      <w:r w:rsidRPr="004A3049">
        <w:rPr>
          <w:rFonts w:cstheme="minorHAnsi"/>
          <w:b/>
          <w:bCs/>
          <w:color w:val="343741"/>
          <w:sz w:val="20"/>
          <w:szCs w:val="20"/>
          <w:u w:val="single"/>
          <w:shd w:val="clear" w:color="auto" w:fill="F8F9FB"/>
        </w:rPr>
        <w:t>Sowell Scholars Faculty Grant</w:t>
      </w:r>
      <w:r w:rsidRPr="00EA0061">
        <w:rPr>
          <w:rFonts w:cstheme="minorHAnsi"/>
          <w:color w:val="343741"/>
          <w:sz w:val="20"/>
          <w:szCs w:val="20"/>
          <w:shd w:val="clear" w:color="auto" w:fill="F8F9FB"/>
        </w:rPr>
        <w:t xml:space="preserve"> </w:t>
      </w:r>
      <w:r w:rsidRPr="00EA0061">
        <w:rPr>
          <w:rFonts w:cstheme="minorHAnsi"/>
          <w:sz w:val="20"/>
          <w:szCs w:val="20"/>
        </w:rPr>
        <w:t>(</w:t>
      </w:r>
      <w:r w:rsidRPr="00EA0061">
        <w:rPr>
          <w:rFonts w:cstheme="minorHAnsi"/>
          <w:i/>
          <w:iCs/>
          <w:sz w:val="20"/>
          <w:szCs w:val="20"/>
        </w:rPr>
        <w:t>apply not through the PDC portal, but according to guidelines publicized by SSFG</w:t>
      </w:r>
      <w:r w:rsidRPr="00EA0061">
        <w:rPr>
          <w:rFonts w:cstheme="minorHAnsi"/>
          <w:sz w:val="20"/>
          <w:szCs w:val="20"/>
        </w:rPr>
        <w:t>).</w:t>
      </w:r>
      <w:r w:rsidRPr="00EA0061">
        <w:rPr>
          <w:rFonts w:cstheme="minorHAnsi"/>
          <w:b/>
          <w:bCs/>
          <w:sz w:val="20"/>
          <w:szCs w:val="20"/>
        </w:rPr>
        <w:t xml:space="preserve"> </w:t>
      </w:r>
      <w:r w:rsidR="00996589" w:rsidRPr="00EA0061">
        <w:rPr>
          <w:rFonts w:cstheme="minorHAnsi"/>
          <w:sz w:val="20"/>
          <w:szCs w:val="20"/>
        </w:rPr>
        <w:t>A separate restricted fund pays for this.</w:t>
      </w:r>
      <w:r w:rsidR="00996589">
        <w:rPr>
          <w:rFonts w:cstheme="minorHAnsi"/>
          <w:b/>
          <w:bCs/>
          <w:sz w:val="20"/>
          <w:szCs w:val="20"/>
        </w:rPr>
        <w:t xml:space="preserve"> </w:t>
      </w:r>
      <w:r w:rsidRPr="003711F0">
        <w:rPr>
          <w:rFonts w:cstheme="minorHAnsi"/>
          <w:color w:val="343741"/>
          <w:sz w:val="20"/>
          <w:szCs w:val="20"/>
          <w:shd w:val="clear" w:color="auto" w:fill="F8F9FB"/>
        </w:rPr>
        <w:t>The recipient of the Sowell Scholars Faculty Grant shall be awarded $2,500 a year, for a three-year period, to pursue scholarly re</w:t>
      </w:r>
      <w:r w:rsidR="00691B32">
        <w:rPr>
          <w:rFonts w:cstheme="minorHAnsi"/>
          <w:color w:val="343741"/>
          <w:sz w:val="20"/>
          <w:szCs w:val="20"/>
          <w:shd w:val="clear" w:color="auto" w:fill="F8F9FB"/>
        </w:rPr>
        <w:t>s</w:t>
      </w:r>
      <w:r w:rsidRPr="003711F0">
        <w:rPr>
          <w:rFonts w:cstheme="minorHAnsi"/>
          <w:color w:val="343741"/>
          <w:sz w:val="20"/>
          <w:szCs w:val="20"/>
          <w:shd w:val="clear" w:color="auto" w:fill="F8F9FB"/>
        </w:rPr>
        <w:t xml:space="preserve">earch that leads to peer-reviewed publication within the humanities (as generally defined in the Faculty Manual). The </w:t>
      </w:r>
      <w:proofErr w:type="gramStart"/>
      <w:r w:rsidRPr="003711F0">
        <w:rPr>
          <w:rFonts w:cstheme="minorHAnsi"/>
          <w:color w:val="343741"/>
          <w:sz w:val="20"/>
          <w:szCs w:val="20"/>
          <w:shd w:val="clear" w:color="auto" w:fill="F8F9FB"/>
        </w:rPr>
        <w:t>main focus</w:t>
      </w:r>
      <w:proofErr w:type="gramEnd"/>
      <w:r w:rsidRPr="003711F0">
        <w:rPr>
          <w:rFonts w:cstheme="minorHAnsi"/>
          <w:color w:val="343741"/>
          <w:sz w:val="20"/>
          <w:szCs w:val="20"/>
          <w:shd w:val="clear" w:color="auto" w:fill="F8F9FB"/>
        </w:rPr>
        <w:t xml:space="preserve"> of the work should not be on teaching. The recipient must be a member of the Juniata College </w:t>
      </w:r>
      <w:proofErr w:type="gramStart"/>
      <w:r w:rsidRPr="003711F0">
        <w:rPr>
          <w:rFonts w:cstheme="minorHAnsi"/>
          <w:color w:val="343741"/>
          <w:sz w:val="20"/>
          <w:szCs w:val="20"/>
          <w:shd w:val="clear" w:color="auto" w:fill="F8F9FB"/>
        </w:rPr>
        <w:t>Faculty, but</w:t>
      </w:r>
      <w:proofErr w:type="gramEnd"/>
      <w:r w:rsidRPr="003711F0">
        <w:rPr>
          <w:rFonts w:cstheme="minorHAnsi"/>
          <w:color w:val="343741"/>
          <w:sz w:val="20"/>
          <w:szCs w:val="20"/>
          <w:shd w:val="clear" w:color="auto" w:fill="F8F9FB"/>
        </w:rPr>
        <w:t xml:space="preserve"> does not have to hold an appointment within a humanities discipline.</w:t>
      </w:r>
    </w:p>
    <w:p w14:paraId="249CA6E2" w14:textId="77777777" w:rsidR="008B364F" w:rsidRPr="003711F0" w:rsidRDefault="008B364F" w:rsidP="008B364F">
      <w:pPr>
        <w:pStyle w:val="ListParagraph"/>
        <w:spacing w:after="0" w:line="240" w:lineRule="auto"/>
        <w:rPr>
          <w:rFonts w:cstheme="minorHAnsi"/>
          <w:b/>
          <w:bCs/>
          <w:sz w:val="20"/>
          <w:szCs w:val="20"/>
        </w:rPr>
      </w:pPr>
    </w:p>
    <w:p w14:paraId="0A46309E" w14:textId="38E57102" w:rsidR="00FC2B56" w:rsidRDefault="00CD1214" w:rsidP="00FC2B56">
      <w:pPr>
        <w:ind w:left="720" w:hanging="360"/>
        <w:rPr>
          <w:rStyle w:val="Hyperlink"/>
          <w:rFonts w:eastAsia="Times New Roman" w:cstheme="minorHAnsi"/>
          <w:sz w:val="20"/>
          <w:szCs w:val="20"/>
        </w:rPr>
      </w:pPr>
      <w:r w:rsidRPr="003711F0">
        <w:rPr>
          <w:rFonts w:cstheme="minorHAnsi"/>
          <w:b/>
          <w:bCs/>
          <w:sz w:val="20"/>
          <w:szCs w:val="20"/>
        </w:rPr>
        <w:t>L.</w:t>
      </w:r>
      <w:r w:rsidRPr="003711F0">
        <w:rPr>
          <w:rFonts w:cstheme="minorHAnsi"/>
          <w:b/>
          <w:bCs/>
          <w:sz w:val="20"/>
          <w:szCs w:val="20"/>
        </w:rPr>
        <w:tab/>
      </w:r>
      <w:r w:rsidR="000A59E2" w:rsidRPr="004A3049">
        <w:rPr>
          <w:rFonts w:cstheme="minorHAnsi"/>
          <w:b/>
          <w:bCs/>
          <w:sz w:val="20"/>
          <w:szCs w:val="20"/>
          <w:u w:val="single"/>
        </w:rPr>
        <w:t>Traveling with students</w:t>
      </w:r>
      <w:r w:rsidR="00940A32">
        <w:rPr>
          <w:rFonts w:cstheme="minorHAnsi"/>
          <w:sz w:val="20"/>
          <w:szCs w:val="20"/>
        </w:rPr>
        <w:t xml:space="preserve"> </w:t>
      </w:r>
      <w:r w:rsidR="00EB5AFB" w:rsidRPr="003711F0">
        <w:rPr>
          <w:rFonts w:cstheme="minorHAnsi"/>
          <w:sz w:val="20"/>
          <w:szCs w:val="20"/>
        </w:rPr>
        <w:t>(conferences, Intercollegiate Music Ensembles</w:t>
      </w:r>
      <w:r w:rsidR="00B729AD" w:rsidRPr="003711F0">
        <w:rPr>
          <w:rFonts w:cstheme="minorHAnsi"/>
          <w:sz w:val="20"/>
          <w:szCs w:val="20"/>
        </w:rPr>
        <w:t xml:space="preserve">, </w:t>
      </w:r>
      <w:r w:rsidR="00EB5AFB" w:rsidRPr="003711F0">
        <w:rPr>
          <w:rFonts w:cstheme="minorHAnsi"/>
          <w:sz w:val="20"/>
          <w:szCs w:val="20"/>
        </w:rPr>
        <w:t xml:space="preserve">et al.) </w:t>
      </w:r>
      <w:r w:rsidR="00B729AD" w:rsidRPr="003711F0">
        <w:rPr>
          <w:rFonts w:cstheme="minorHAnsi"/>
          <w:sz w:val="20"/>
          <w:szCs w:val="20"/>
        </w:rPr>
        <w:t xml:space="preserve">either as </w:t>
      </w:r>
      <w:r w:rsidR="00EB5AFB" w:rsidRPr="003711F0">
        <w:rPr>
          <w:rFonts w:cstheme="minorHAnsi"/>
          <w:sz w:val="20"/>
          <w:szCs w:val="20"/>
        </w:rPr>
        <w:t xml:space="preserve">a </w:t>
      </w:r>
      <w:r w:rsidR="00826F03" w:rsidRPr="003711F0">
        <w:rPr>
          <w:rFonts w:cstheme="minorHAnsi"/>
          <w:sz w:val="20"/>
          <w:szCs w:val="20"/>
        </w:rPr>
        <w:t xml:space="preserve">required </w:t>
      </w:r>
      <w:r w:rsidR="00B729AD" w:rsidRPr="003711F0">
        <w:rPr>
          <w:rFonts w:cstheme="minorHAnsi"/>
          <w:sz w:val="20"/>
          <w:szCs w:val="20"/>
        </w:rPr>
        <w:t>chaperone (not a Profe</w:t>
      </w:r>
      <w:r w:rsidR="00B90FAD" w:rsidRPr="003711F0">
        <w:rPr>
          <w:rFonts w:cstheme="minorHAnsi"/>
          <w:sz w:val="20"/>
          <w:szCs w:val="20"/>
        </w:rPr>
        <w:t>s</w:t>
      </w:r>
      <w:r w:rsidR="00B729AD" w:rsidRPr="003711F0">
        <w:rPr>
          <w:rFonts w:cstheme="minorHAnsi"/>
          <w:sz w:val="20"/>
          <w:szCs w:val="20"/>
        </w:rPr>
        <w:t xml:space="preserve">sional </w:t>
      </w:r>
      <w:r w:rsidR="0001662D" w:rsidRPr="003711F0">
        <w:rPr>
          <w:rFonts w:cstheme="minorHAnsi"/>
          <w:sz w:val="20"/>
          <w:szCs w:val="20"/>
        </w:rPr>
        <w:t>D</w:t>
      </w:r>
      <w:r w:rsidR="00B729AD" w:rsidRPr="003711F0">
        <w:rPr>
          <w:rFonts w:cstheme="minorHAnsi"/>
          <w:sz w:val="20"/>
          <w:szCs w:val="20"/>
        </w:rPr>
        <w:t xml:space="preserve">evelopment situation) or as a </w:t>
      </w:r>
      <w:r w:rsidR="00667B99" w:rsidRPr="003711F0">
        <w:rPr>
          <w:rFonts w:cstheme="minorHAnsi"/>
          <w:sz w:val="20"/>
          <w:szCs w:val="20"/>
        </w:rPr>
        <w:t>pre</w:t>
      </w:r>
      <w:r w:rsidR="00B729AD" w:rsidRPr="003711F0">
        <w:rPr>
          <w:rFonts w:cstheme="minorHAnsi"/>
          <w:sz w:val="20"/>
          <w:szCs w:val="20"/>
        </w:rPr>
        <w:t xml:space="preserve">senter/officer of </w:t>
      </w:r>
      <w:r w:rsidR="00B90FAD" w:rsidRPr="003711F0">
        <w:rPr>
          <w:rFonts w:cstheme="minorHAnsi"/>
          <w:sz w:val="20"/>
          <w:szCs w:val="20"/>
        </w:rPr>
        <w:t>conference organization</w:t>
      </w:r>
      <w:r w:rsidR="000A59E2" w:rsidRPr="003711F0">
        <w:rPr>
          <w:rFonts w:cstheme="minorHAnsi"/>
          <w:sz w:val="20"/>
          <w:szCs w:val="20"/>
        </w:rPr>
        <w:t xml:space="preserve"> </w:t>
      </w:r>
      <w:r w:rsidR="00B90FAD" w:rsidRPr="003711F0">
        <w:rPr>
          <w:rFonts w:cstheme="minorHAnsi"/>
          <w:sz w:val="20"/>
          <w:szCs w:val="20"/>
        </w:rPr>
        <w:t>(</w:t>
      </w:r>
      <w:r w:rsidR="00B90FAD" w:rsidRPr="003711F0">
        <w:rPr>
          <w:rFonts w:cstheme="minorHAnsi"/>
          <w:i/>
          <w:iCs/>
          <w:sz w:val="20"/>
          <w:szCs w:val="20"/>
        </w:rPr>
        <w:t>apply not through the PDC portal, but by emailing the Provost’s Office</w:t>
      </w:r>
      <w:r w:rsidR="00B90FAD" w:rsidRPr="003711F0">
        <w:rPr>
          <w:rFonts w:cstheme="minorHAnsi"/>
          <w:sz w:val="20"/>
          <w:szCs w:val="20"/>
        </w:rPr>
        <w:t>)</w:t>
      </w:r>
      <w:r w:rsidR="0093098A">
        <w:rPr>
          <w:rFonts w:cstheme="minorHAnsi"/>
          <w:sz w:val="20"/>
          <w:szCs w:val="20"/>
        </w:rPr>
        <w:t>. All travel</w:t>
      </w:r>
      <w:r w:rsidR="00FC2B56">
        <w:rPr>
          <w:rFonts w:cstheme="minorHAnsi"/>
          <w:sz w:val="20"/>
          <w:szCs w:val="20"/>
        </w:rPr>
        <w:t xml:space="preserve"> with students must be logged: </w:t>
      </w:r>
      <w:hyperlink r:id="rId8" w:history="1">
        <w:r w:rsidR="00FC2B56" w:rsidRPr="00FC2B56">
          <w:rPr>
            <w:rStyle w:val="Hyperlink"/>
            <w:rFonts w:eastAsia="Times New Roman" w:cstheme="minorHAnsi"/>
            <w:sz w:val="20"/>
            <w:szCs w:val="20"/>
          </w:rPr>
          <w:t>https://services2.juniata.edu/facilities/trip-registration/</w:t>
        </w:r>
      </w:hyperlink>
    </w:p>
    <w:p w14:paraId="4C5E859F" w14:textId="77777777" w:rsidR="006F3472" w:rsidRPr="00FC2B56" w:rsidRDefault="006F3472" w:rsidP="00FC2B56">
      <w:pPr>
        <w:ind w:left="720" w:hanging="360"/>
        <w:rPr>
          <w:rFonts w:eastAsia="Times New Roman" w:cstheme="minorHAnsi"/>
          <w:sz w:val="20"/>
          <w:szCs w:val="20"/>
        </w:rPr>
      </w:pPr>
    </w:p>
    <w:p w14:paraId="5937F9E1" w14:textId="2F5007BF" w:rsidR="00F53B74" w:rsidRPr="00F53B74" w:rsidRDefault="00B71D45" w:rsidP="00F53B74">
      <w:pPr>
        <w:pStyle w:val="Heading1"/>
        <w:spacing w:line="240" w:lineRule="auto"/>
        <w:jc w:val="center"/>
        <w:rPr>
          <w:rFonts w:asciiTheme="minorHAnsi" w:hAnsiTheme="minorHAnsi" w:cstheme="minorHAnsi"/>
          <w:b/>
          <w:sz w:val="20"/>
          <w:szCs w:val="20"/>
          <w:u w:val="single"/>
        </w:rPr>
      </w:pPr>
      <w:r w:rsidRPr="00F53B74">
        <w:rPr>
          <w:rFonts w:asciiTheme="minorHAnsi" w:hAnsiTheme="minorHAnsi" w:cstheme="minorHAnsi"/>
          <w:b/>
          <w:u w:val="single"/>
        </w:rPr>
        <w:t xml:space="preserve">Application and Spending </w:t>
      </w:r>
      <w:r w:rsidR="00CF6773" w:rsidRPr="00F53B74">
        <w:rPr>
          <w:rFonts w:asciiTheme="minorHAnsi" w:hAnsiTheme="minorHAnsi" w:cstheme="minorHAnsi"/>
          <w:b/>
          <w:u w:val="single"/>
        </w:rPr>
        <w:t>Guidelines</w:t>
      </w:r>
      <w:r w:rsidR="00BB5C66" w:rsidRPr="00F53B74">
        <w:rPr>
          <w:rFonts w:asciiTheme="minorHAnsi" w:hAnsiTheme="minorHAnsi" w:cstheme="minorHAnsi"/>
          <w:b/>
          <w:sz w:val="20"/>
          <w:szCs w:val="20"/>
          <w:u w:val="single"/>
        </w:rPr>
        <w:t>:</w:t>
      </w:r>
    </w:p>
    <w:p w14:paraId="2B3C1BF3" w14:textId="2C45EC8D" w:rsidR="00B51729" w:rsidRPr="00F53B74" w:rsidRDefault="00F53B74" w:rsidP="00CF7C20">
      <w:pPr>
        <w:pStyle w:val="NormalWeb"/>
        <w:spacing w:before="0" w:beforeAutospacing="0" w:after="0" w:afterAutospacing="0"/>
        <w:rPr>
          <w:rFonts w:ascii="Calibri" w:hAnsi="Calibri" w:cs="Calibri"/>
          <w:color w:val="333333"/>
          <w:sz w:val="20"/>
          <w:szCs w:val="20"/>
        </w:rPr>
      </w:pPr>
      <w:r w:rsidRPr="00F53B74">
        <w:rPr>
          <w:rFonts w:ascii="Calibri" w:hAnsi="Calibri" w:cs="Calibri"/>
          <w:i/>
          <w:iCs/>
          <w:noProof/>
          <w:color w:val="333333"/>
          <w:sz w:val="32"/>
          <w:szCs w:val="32"/>
          <w:highlight w:val="yellow"/>
          <w:u w:val="single"/>
        </w:rPr>
        <mc:AlternateContent>
          <mc:Choice Requires="wps">
            <w:drawing>
              <wp:anchor distT="45720" distB="45720" distL="114300" distR="114300" simplePos="0" relativeHeight="251659264" behindDoc="0" locked="0" layoutInCell="1" allowOverlap="1" wp14:anchorId="4A2AE1BB" wp14:editId="4380AA7D">
                <wp:simplePos x="0" y="0"/>
                <wp:positionH relativeFrom="margin">
                  <wp:posOffset>-15240</wp:posOffset>
                </wp:positionH>
                <wp:positionV relativeFrom="paragraph">
                  <wp:posOffset>210820</wp:posOffset>
                </wp:positionV>
                <wp:extent cx="6606540" cy="9829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982980"/>
                        </a:xfrm>
                        <a:prstGeom prst="rect">
                          <a:avLst/>
                        </a:prstGeom>
                        <a:solidFill>
                          <a:srgbClr val="FFFFFF"/>
                        </a:solidFill>
                        <a:ln w="9525">
                          <a:solidFill>
                            <a:srgbClr val="000000"/>
                          </a:solidFill>
                          <a:miter lim="800000"/>
                          <a:headEnd/>
                          <a:tailEnd/>
                        </a:ln>
                      </wps:spPr>
                      <wps:txbx>
                        <w:txbxContent>
                          <w:p w14:paraId="4F6ECC60" w14:textId="1CC7E711" w:rsidR="00DB42DC" w:rsidRDefault="003711F0" w:rsidP="005F72EB">
                            <w:r w:rsidRPr="003711F0">
                              <w:rPr>
                                <w:rFonts w:ascii="Calibri" w:hAnsi="Calibri" w:cs="Calibri"/>
                                <w:b/>
                                <w:bCs/>
                                <w:color w:val="333333"/>
                                <w:sz w:val="20"/>
                                <w:szCs w:val="20"/>
                              </w:rPr>
                              <w:t>INTERNATIONAL TRAVEL</w:t>
                            </w:r>
                            <w:r>
                              <w:rPr>
                                <w:rFonts w:ascii="Calibri" w:hAnsi="Calibri" w:cs="Calibri"/>
                                <w:color w:val="333333"/>
                                <w:sz w:val="20"/>
                                <w:szCs w:val="20"/>
                              </w:rPr>
                              <w:t xml:space="preserve">: </w:t>
                            </w:r>
                            <w:r w:rsidR="001441BF" w:rsidRPr="00430F52">
                              <w:rPr>
                                <w:rFonts w:ascii="Calibri" w:hAnsi="Calibri" w:cs="Calibri"/>
                                <w:color w:val="333333"/>
                                <w:sz w:val="20"/>
                                <w:szCs w:val="20"/>
                              </w:rPr>
                              <w:t>Follow college guidelines for international travel</w:t>
                            </w:r>
                            <w:r w:rsidR="00814574">
                              <w:rPr>
                                <w:rFonts w:ascii="Calibri" w:hAnsi="Calibri" w:cs="Calibri"/>
                                <w:color w:val="333333"/>
                                <w:sz w:val="20"/>
                                <w:szCs w:val="20"/>
                              </w:rPr>
                              <w:t>, which includes completion of the International Travel Form</w:t>
                            </w:r>
                            <w:r w:rsidR="005F72EB">
                              <w:rPr>
                                <w:rFonts w:ascii="Calibri" w:hAnsi="Calibri" w:cs="Calibri"/>
                                <w:color w:val="333333"/>
                                <w:sz w:val="20"/>
                                <w:szCs w:val="20"/>
                              </w:rPr>
                              <w:t xml:space="preserve">: </w:t>
                            </w:r>
                            <w:hyperlink r:id="rId9" w:history="1">
                              <w:r w:rsidR="005F72EB" w:rsidRPr="0013431B">
                                <w:rPr>
                                  <w:rStyle w:val="Hyperlink"/>
                                </w:rPr>
                                <w:t>https://juniata.terradotta.com/index.cfm?FuseAction=Programs.ViewProgramAngular&amp;id=25921</w:t>
                              </w:r>
                            </w:hyperlink>
                            <w:r w:rsidR="005F72EB">
                              <w:t xml:space="preserve">. </w:t>
                            </w:r>
                            <w:r w:rsidR="001441BF" w:rsidRPr="00430F52">
                              <w:rPr>
                                <w:rFonts w:ascii="Calibri" w:hAnsi="Calibri" w:cs="Calibri"/>
                                <w:color w:val="333333"/>
                                <w:sz w:val="20"/>
                                <w:szCs w:val="20"/>
                              </w:rPr>
                              <w:t>Share all international travel requests and plans with the Prov</w:t>
                            </w:r>
                            <w:r w:rsidR="00DB42DC" w:rsidRPr="00430F52">
                              <w:rPr>
                                <w:rFonts w:ascii="Calibri" w:hAnsi="Calibri" w:cs="Calibri"/>
                                <w:color w:val="333333"/>
                                <w:sz w:val="20"/>
                                <w:szCs w:val="20"/>
                              </w:rPr>
                              <w:t xml:space="preserve">ost </w:t>
                            </w:r>
                            <w:r w:rsidR="002D6E3A">
                              <w:rPr>
                                <w:rFonts w:ascii="Calibri" w:hAnsi="Calibri" w:cs="Calibri"/>
                                <w:color w:val="333333"/>
                                <w:sz w:val="20"/>
                                <w:szCs w:val="20"/>
                              </w:rPr>
                              <w:t xml:space="preserve">and the </w:t>
                            </w:r>
                            <w:r w:rsidR="00222DED">
                              <w:rPr>
                                <w:rFonts w:ascii="Calibri" w:hAnsi="Calibri" w:cs="Calibri"/>
                                <w:color w:val="333333"/>
                                <w:sz w:val="20"/>
                                <w:szCs w:val="20"/>
                              </w:rPr>
                              <w:t>Dean</w:t>
                            </w:r>
                            <w:r w:rsidR="002D6E3A">
                              <w:rPr>
                                <w:rFonts w:ascii="Calibri" w:hAnsi="Calibri" w:cs="Calibri"/>
                                <w:color w:val="333333"/>
                                <w:sz w:val="20"/>
                                <w:szCs w:val="20"/>
                              </w:rPr>
                              <w:t xml:space="preserve"> of CIE </w:t>
                            </w:r>
                            <w:r w:rsidR="00DB42DC" w:rsidRPr="00430F52">
                              <w:rPr>
                                <w:rFonts w:ascii="Calibri" w:hAnsi="Calibri" w:cs="Calibri"/>
                                <w:color w:val="333333"/>
                                <w:sz w:val="20"/>
                                <w:szCs w:val="20"/>
                              </w:rPr>
                              <w:t xml:space="preserve">for approval. </w:t>
                            </w:r>
                            <w:r w:rsidR="008C48DA">
                              <w:rPr>
                                <w:rFonts w:ascii="Calibri" w:hAnsi="Calibri" w:cs="Calibri"/>
                                <w:color w:val="333333"/>
                                <w:sz w:val="20"/>
                                <w:szCs w:val="20"/>
                              </w:rPr>
                              <w:t>I</w:t>
                            </w:r>
                            <w:r w:rsidR="00DB42DC" w:rsidRPr="00430F52">
                              <w:rPr>
                                <w:rFonts w:ascii="Calibri" w:hAnsi="Calibri" w:cs="Calibri"/>
                                <w:color w:val="333333"/>
                                <w:sz w:val="20"/>
                                <w:szCs w:val="20"/>
                              </w:rPr>
                              <w:t xml:space="preserve">nternational travel must be approved by the Provost’s Office. Proper COVID vaccination and travel insurance documentation </w:t>
                            </w:r>
                            <w:proofErr w:type="gramStart"/>
                            <w:r w:rsidR="00DB42DC" w:rsidRPr="00430F52">
                              <w:rPr>
                                <w:rFonts w:ascii="Calibri" w:hAnsi="Calibri" w:cs="Calibri"/>
                                <w:color w:val="333333"/>
                                <w:sz w:val="20"/>
                                <w:szCs w:val="20"/>
                              </w:rPr>
                              <w:t>are</w:t>
                            </w:r>
                            <w:proofErr w:type="gramEnd"/>
                            <w:r w:rsidR="00DB42DC" w:rsidRPr="00430F52">
                              <w:rPr>
                                <w:rFonts w:ascii="Calibri" w:hAnsi="Calibri" w:cs="Calibri"/>
                                <w:color w:val="333333"/>
                                <w:sz w:val="20"/>
                                <w:szCs w:val="20"/>
                              </w:rPr>
                              <w:t xml:space="preserve"> required.</w:t>
                            </w:r>
                            <w:r>
                              <w:rPr>
                                <w:rFonts w:ascii="Calibri" w:hAnsi="Calibri" w:cs="Calibri"/>
                                <w:color w:val="333333"/>
                                <w:sz w:val="20"/>
                                <w:szCs w:val="20"/>
                              </w:rPr>
                              <w:t xml:space="preserve"> </w:t>
                            </w:r>
                            <w:r w:rsidR="00DB42DC" w:rsidRPr="00430F52">
                              <w:rPr>
                                <w:rFonts w:ascii="Calibri" w:hAnsi="Calibri" w:cs="Calibri"/>
                                <w:b/>
                                <w:i/>
                                <w:color w:val="333333"/>
                                <w:sz w:val="20"/>
                                <w:szCs w:val="20"/>
                              </w:rPr>
                              <w:t>No domestic or international travel arrangements should be made prior to receiving documented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AE1BB" id="_x0000_t202" coordsize="21600,21600" o:spt="202" path="m,l,21600r21600,l21600,xe">
                <v:stroke joinstyle="miter"/>
                <v:path gradientshapeok="t" o:connecttype="rect"/>
              </v:shapetype>
              <v:shape id="Text Box 2" o:spid="_x0000_s1026" type="#_x0000_t202" style="position:absolute;margin-left:-1.2pt;margin-top:16.6pt;width:520.2pt;height:7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">
                <v:textbox>
                  <w:txbxContent>
                    <w:p w14:paraId="4F6ECC60" w14:textId="1CC7E711" w:rsidR="00DB42DC" w:rsidRDefault="003711F0" w:rsidP="005F72EB">
                      <w:r w:rsidRPr="003711F0">
                        <w:rPr>
                          <w:rFonts w:ascii="Calibri" w:hAnsi="Calibri" w:cs="Calibri"/>
                          <w:b/>
                          <w:bCs/>
                          <w:color w:val="333333"/>
                          <w:sz w:val="20"/>
                          <w:szCs w:val="20"/>
                        </w:rPr>
                        <w:t>INTERNATIONAL TRAVEL</w:t>
                      </w:r>
                      <w:r>
                        <w:rPr>
                          <w:rFonts w:ascii="Calibri" w:hAnsi="Calibri" w:cs="Calibri"/>
                          <w:color w:val="333333"/>
                          <w:sz w:val="20"/>
                          <w:szCs w:val="20"/>
                        </w:rPr>
                        <w:t xml:space="preserve">: </w:t>
                      </w:r>
                      <w:r w:rsidR="001441BF" w:rsidRPr="00430F52">
                        <w:rPr>
                          <w:rFonts w:ascii="Calibri" w:hAnsi="Calibri" w:cs="Calibri"/>
                          <w:color w:val="333333"/>
                          <w:sz w:val="20"/>
                          <w:szCs w:val="20"/>
                        </w:rPr>
                        <w:t>Follow college guidelines for international travel</w:t>
                      </w:r>
                      <w:r w:rsidR="00814574">
                        <w:rPr>
                          <w:rFonts w:ascii="Calibri" w:hAnsi="Calibri" w:cs="Calibri"/>
                          <w:color w:val="333333"/>
                          <w:sz w:val="20"/>
                          <w:szCs w:val="20"/>
                        </w:rPr>
                        <w:t>, which includes completion of the International Travel Form</w:t>
                      </w:r>
                      <w:r w:rsidR="005F72EB">
                        <w:rPr>
                          <w:rFonts w:ascii="Calibri" w:hAnsi="Calibri" w:cs="Calibri"/>
                          <w:color w:val="333333"/>
                          <w:sz w:val="20"/>
                          <w:szCs w:val="20"/>
                        </w:rPr>
                        <w:t xml:space="preserve">: </w:t>
                      </w:r>
                      <w:hyperlink r:id="rId10" w:history="1">
                        <w:r w:rsidR="005F72EB" w:rsidRPr="0013431B">
                          <w:rPr>
                            <w:rStyle w:val="Hyperlink"/>
                          </w:rPr>
                          <w:t>https://juniata.terradotta.com/index.cfm?FuseAction=Programs.ViewProgramAngular&amp;id=25921</w:t>
                        </w:r>
                      </w:hyperlink>
                      <w:r w:rsidR="005F72EB">
                        <w:t xml:space="preserve">. </w:t>
                      </w:r>
                      <w:r w:rsidR="001441BF" w:rsidRPr="00430F52">
                        <w:rPr>
                          <w:rFonts w:ascii="Calibri" w:hAnsi="Calibri" w:cs="Calibri"/>
                          <w:color w:val="333333"/>
                          <w:sz w:val="20"/>
                          <w:szCs w:val="20"/>
                        </w:rPr>
                        <w:t>Share all international travel requests and plans with the Prov</w:t>
                      </w:r>
                      <w:r w:rsidR="00DB42DC" w:rsidRPr="00430F52">
                        <w:rPr>
                          <w:rFonts w:ascii="Calibri" w:hAnsi="Calibri" w:cs="Calibri"/>
                          <w:color w:val="333333"/>
                          <w:sz w:val="20"/>
                          <w:szCs w:val="20"/>
                        </w:rPr>
                        <w:t xml:space="preserve">ost </w:t>
                      </w:r>
                      <w:r w:rsidR="002D6E3A">
                        <w:rPr>
                          <w:rFonts w:ascii="Calibri" w:hAnsi="Calibri" w:cs="Calibri"/>
                          <w:color w:val="333333"/>
                          <w:sz w:val="20"/>
                          <w:szCs w:val="20"/>
                        </w:rPr>
                        <w:t xml:space="preserve">and the </w:t>
                      </w:r>
                      <w:r w:rsidR="00222DED">
                        <w:rPr>
                          <w:rFonts w:ascii="Calibri" w:hAnsi="Calibri" w:cs="Calibri"/>
                          <w:color w:val="333333"/>
                          <w:sz w:val="20"/>
                          <w:szCs w:val="20"/>
                        </w:rPr>
                        <w:t>Dean</w:t>
                      </w:r>
                      <w:r w:rsidR="002D6E3A">
                        <w:rPr>
                          <w:rFonts w:ascii="Calibri" w:hAnsi="Calibri" w:cs="Calibri"/>
                          <w:color w:val="333333"/>
                          <w:sz w:val="20"/>
                          <w:szCs w:val="20"/>
                        </w:rPr>
                        <w:t xml:space="preserve"> of CIE </w:t>
                      </w:r>
                      <w:r w:rsidR="00DB42DC" w:rsidRPr="00430F52">
                        <w:rPr>
                          <w:rFonts w:ascii="Calibri" w:hAnsi="Calibri" w:cs="Calibri"/>
                          <w:color w:val="333333"/>
                          <w:sz w:val="20"/>
                          <w:szCs w:val="20"/>
                        </w:rPr>
                        <w:t xml:space="preserve">for approval. </w:t>
                      </w:r>
                      <w:r w:rsidR="008C48DA">
                        <w:rPr>
                          <w:rFonts w:ascii="Calibri" w:hAnsi="Calibri" w:cs="Calibri"/>
                          <w:color w:val="333333"/>
                          <w:sz w:val="20"/>
                          <w:szCs w:val="20"/>
                        </w:rPr>
                        <w:t>I</w:t>
                      </w:r>
                      <w:r w:rsidR="00DB42DC" w:rsidRPr="00430F52">
                        <w:rPr>
                          <w:rFonts w:ascii="Calibri" w:hAnsi="Calibri" w:cs="Calibri"/>
                          <w:color w:val="333333"/>
                          <w:sz w:val="20"/>
                          <w:szCs w:val="20"/>
                        </w:rPr>
                        <w:t xml:space="preserve">nternational travel must be approved by the Provost’s Office. Proper COVID vaccination and travel insurance documentation </w:t>
                      </w:r>
                      <w:proofErr w:type="gramStart"/>
                      <w:r w:rsidR="00DB42DC" w:rsidRPr="00430F52">
                        <w:rPr>
                          <w:rFonts w:ascii="Calibri" w:hAnsi="Calibri" w:cs="Calibri"/>
                          <w:color w:val="333333"/>
                          <w:sz w:val="20"/>
                          <w:szCs w:val="20"/>
                        </w:rPr>
                        <w:t>are</w:t>
                      </w:r>
                      <w:proofErr w:type="gramEnd"/>
                      <w:r w:rsidR="00DB42DC" w:rsidRPr="00430F52">
                        <w:rPr>
                          <w:rFonts w:ascii="Calibri" w:hAnsi="Calibri" w:cs="Calibri"/>
                          <w:color w:val="333333"/>
                          <w:sz w:val="20"/>
                          <w:szCs w:val="20"/>
                        </w:rPr>
                        <w:t xml:space="preserve"> required.</w:t>
                      </w:r>
                      <w:r>
                        <w:rPr>
                          <w:rFonts w:ascii="Calibri" w:hAnsi="Calibri" w:cs="Calibri"/>
                          <w:color w:val="333333"/>
                          <w:sz w:val="20"/>
                          <w:szCs w:val="20"/>
                        </w:rPr>
                        <w:t xml:space="preserve"> </w:t>
                      </w:r>
                      <w:r w:rsidR="00DB42DC" w:rsidRPr="00430F52">
                        <w:rPr>
                          <w:rFonts w:ascii="Calibri" w:hAnsi="Calibri" w:cs="Calibri"/>
                          <w:b/>
                          <w:i/>
                          <w:color w:val="333333"/>
                          <w:sz w:val="20"/>
                          <w:szCs w:val="20"/>
                        </w:rPr>
                        <w:t>No domestic or international travel arrangements should be made prior to receiving documented approval.</w:t>
                      </w:r>
                    </w:p>
                  </w:txbxContent>
                </v:textbox>
                <w10:wrap type="square" anchorx="margin"/>
              </v:shape>
            </w:pict>
          </mc:Fallback>
        </mc:AlternateContent>
      </w:r>
    </w:p>
    <w:p w14:paraId="539F61FF" w14:textId="762568C4" w:rsidR="00997AFB" w:rsidRPr="00F53B74" w:rsidRDefault="00997AFB" w:rsidP="00457AF9">
      <w:pPr>
        <w:pStyle w:val="NormalWeb"/>
        <w:spacing w:before="0" w:beforeAutospacing="0" w:after="0" w:afterAutospacing="0"/>
        <w:ind w:left="720" w:hanging="720"/>
        <w:rPr>
          <w:rFonts w:ascii="Calibri" w:hAnsi="Calibri" w:cs="Calibri"/>
          <w:color w:val="333333"/>
          <w:sz w:val="20"/>
          <w:szCs w:val="20"/>
        </w:rPr>
      </w:pPr>
      <w:r w:rsidRPr="00F53B74">
        <w:rPr>
          <w:rFonts w:ascii="Calibri" w:hAnsi="Calibri" w:cs="Calibri"/>
          <w:color w:val="333333"/>
          <w:sz w:val="20"/>
          <w:szCs w:val="20"/>
        </w:rPr>
        <w:t>All travel request</w:t>
      </w:r>
      <w:r w:rsidR="00481E29" w:rsidRPr="00F53B74">
        <w:rPr>
          <w:rFonts w:ascii="Calibri" w:hAnsi="Calibri" w:cs="Calibri"/>
          <w:color w:val="333333"/>
          <w:sz w:val="20"/>
          <w:szCs w:val="20"/>
        </w:rPr>
        <w:t>s</w:t>
      </w:r>
      <w:r w:rsidRPr="00F53B74">
        <w:rPr>
          <w:rFonts w:ascii="Calibri" w:hAnsi="Calibri" w:cs="Calibri"/>
          <w:color w:val="333333"/>
          <w:sz w:val="20"/>
          <w:szCs w:val="20"/>
        </w:rPr>
        <w:t xml:space="preserve"> must include the following within the application:</w:t>
      </w:r>
    </w:p>
    <w:p w14:paraId="247F45D6" w14:textId="77777777" w:rsidR="00997AFB" w:rsidRPr="00F53B74" w:rsidRDefault="00997AFB" w:rsidP="00457AF9">
      <w:pPr>
        <w:pStyle w:val="NormalWeb"/>
        <w:numPr>
          <w:ilvl w:val="0"/>
          <w:numId w:val="12"/>
        </w:numPr>
        <w:spacing w:before="0" w:beforeAutospacing="0" w:after="0" w:afterAutospacing="0"/>
        <w:ind w:left="1260" w:hanging="720"/>
        <w:rPr>
          <w:rFonts w:ascii="Calibri" w:hAnsi="Calibri" w:cs="Calibri"/>
          <w:color w:val="333333"/>
          <w:sz w:val="20"/>
          <w:szCs w:val="20"/>
        </w:rPr>
      </w:pPr>
      <w:r w:rsidRPr="00F53B74">
        <w:rPr>
          <w:rFonts w:ascii="Calibri" w:hAnsi="Calibri" w:cs="Calibri"/>
          <w:color w:val="333333"/>
          <w:sz w:val="20"/>
          <w:szCs w:val="20"/>
        </w:rPr>
        <w:t>Purpose of Travel</w:t>
      </w:r>
    </w:p>
    <w:p w14:paraId="41A6E02F" w14:textId="77777777" w:rsidR="00997AFB" w:rsidRPr="00F53B74" w:rsidRDefault="00997AFB" w:rsidP="00457AF9">
      <w:pPr>
        <w:pStyle w:val="NormalWeb"/>
        <w:numPr>
          <w:ilvl w:val="0"/>
          <w:numId w:val="12"/>
        </w:numPr>
        <w:spacing w:before="0" w:beforeAutospacing="0" w:after="0" w:afterAutospacing="0"/>
        <w:ind w:left="1260" w:hanging="720"/>
        <w:rPr>
          <w:rFonts w:ascii="Calibri" w:hAnsi="Calibri" w:cs="Calibri"/>
          <w:color w:val="333333"/>
          <w:sz w:val="20"/>
          <w:szCs w:val="20"/>
        </w:rPr>
      </w:pPr>
      <w:r w:rsidRPr="00F53B74">
        <w:rPr>
          <w:rFonts w:ascii="Calibri" w:hAnsi="Calibri" w:cs="Calibri"/>
          <w:color w:val="333333"/>
          <w:sz w:val="20"/>
          <w:szCs w:val="20"/>
        </w:rPr>
        <w:t>Destination</w:t>
      </w:r>
    </w:p>
    <w:p w14:paraId="33128051" w14:textId="0169174B" w:rsidR="00B17D91" w:rsidRPr="00F53B74" w:rsidRDefault="00B17D91" w:rsidP="00457AF9">
      <w:pPr>
        <w:pStyle w:val="NormalWeb"/>
        <w:numPr>
          <w:ilvl w:val="0"/>
          <w:numId w:val="12"/>
        </w:numPr>
        <w:spacing w:before="0" w:beforeAutospacing="0" w:after="0" w:afterAutospacing="0"/>
        <w:ind w:left="1260" w:hanging="720"/>
        <w:rPr>
          <w:rFonts w:ascii="Calibri" w:hAnsi="Calibri" w:cs="Calibri"/>
          <w:color w:val="333333"/>
          <w:sz w:val="20"/>
          <w:szCs w:val="20"/>
        </w:rPr>
      </w:pPr>
      <w:r w:rsidRPr="00F53B74">
        <w:rPr>
          <w:rFonts w:ascii="Calibri" w:hAnsi="Calibri" w:cs="Calibri"/>
          <w:color w:val="333333"/>
          <w:sz w:val="20"/>
          <w:szCs w:val="20"/>
        </w:rPr>
        <w:t>Dates of Activity</w:t>
      </w:r>
    </w:p>
    <w:p w14:paraId="0CF28020" w14:textId="5346D77D" w:rsidR="00481E29" w:rsidRPr="00F53B74" w:rsidRDefault="00997AFB" w:rsidP="00457AF9">
      <w:pPr>
        <w:pStyle w:val="NormalWeb"/>
        <w:numPr>
          <w:ilvl w:val="0"/>
          <w:numId w:val="12"/>
        </w:numPr>
        <w:spacing w:before="0" w:beforeAutospacing="0" w:after="0" w:afterAutospacing="0"/>
        <w:ind w:left="1260" w:hanging="720"/>
        <w:rPr>
          <w:rFonts w:ascii="Calibri" w:hAnsi="Calibri" w:cs="Calibri"/>
          <w:color w:val="333333"/>
          <w:sz w:val="20"/>
          <w:szCs w:val="20"/>
        </w:rPr>
      </w:pPr>
      <w:r w:rsidRPr="00F53B74">
        <w:rPr>
          <w:rFonts w:ascii="Calibri" w:hAnsi="Calibri" w:cs="Calibri"/>
          <w:color w:val="333333"/>
          <w:sz w:val="20"/>
          <w:szCs w:val="20"/>
        </w:rPr>
        <w:t xml:space="preserve">Funding Amount Requested </w:t>
      </w:r>
      <w:r w:rsidR="00925603" w:rsidRPr="00F53B74">
        <w:rPr>
          <w:rFonts w:ascii="Calibri" w:hAnsi="Calibri" w:cs="Calibri"/>
          <w:color w:val="333333"/>
          <w:sz w:val="20"/>
          <w:szCs w:val="20"/>
        </w:rPr>
        <w:t>(</w:t>
      </w:r>
      <w:r w:rsidRPr="00F53B74">
        <w:rPr>
          <w:rFonts w:ascii="Calibri" w:hAnsi="Calibri" w:cs="Calibri"/>
          <w:color w:val="333333"/>
          <w:sz w:val="20"/>
          <w:szCs w:val="20"/>
        </w:rPr>
        <w:t>with Travel Insurance Included</w:t>
      </w:r>
      <w:r w:rsidR="00050759" w:rsidRPr="00F53B74">
        <w:rPr>
          <w:rFonts w:ascii="Calibri" w:hAnsi="Calibri" w:cs="Calibri"/>
          <w:color w:val="333333"/>
          <w:sz w:val="20"/>
          <w:szCs w:val="20"/>
        </w:rPr>
        <w:t>)</w:t>
      </w:r>
    </w:p>
    <w:p w14:paraId="4FE8E174" w14:textId="4E29FC1A" w:rsidR="00481E29" w:rsidRPr="00F53B74" w:rsidRDefault="00481E29" w:rsidP="00457AF9">
      <w:pPr>
        <w:pStyle w:val="NormalWeb"/>
        <w:numPr>
          <w:ilvl w:val="2"/>
          <w:numId w:val="12"/>
        </w:numPr>
        <w:spacing w:before="0" w:beforeAutospacing="0" w:after="0" w:afterAutospacing="0"/>
        <w:ind w:hanging="720"/>
        <w:rPr>
          <w:rFonts w:ascii="Calibri" w:hAnsi="Calibri" w:cs="Calibri"/>
          <w:color w:val="333333"/>
          <w:sz w:val="20"/>
          <w:szCs w:val="20"/>
        </w:rPr>
      </w:pPr>
      <w:r w:rsidRPr="00F53B74">
        <w:rPr>
          <w:rFonts w:ascii="Calibri" w:hAnsi="Calibri" w:cs="Calibri"/>
          <w:bCs/>
          <w:color w:val="333333"/>
          <w:sz w:val="20"/>
          <w:szCs w:val="20"/>
        </w:rPr>
        <w:t xml:space="preserve">Travel Insurance is required to be budgeted into a PDC request for any travel paid ahead of time. </w:t>
      </w:r>
      <w:r w:rsidRPr="00F53B74">
        <w:rPr>
          <w:rFonts w:ascii="Calibri" w:hAnsi="Calibri" w:cs="Calibri"/>
          <w:bCs/>
          <w:color w:val="333333"/>
          <w:sz w:val="20"/>
          <w:szCs w:val="20"/>
        </w:rPr>
        <w:br/>
        <w:t>If travel needs to be cancelled, PDC would cover the cost of insurance.</w:t>
      </w:r>
    </w:p>
    <w:p w14:paraId="44571A4D" w14:textId="26520A7A" w:rsidR="00997AFB" w:rsidRPr="00F53B74" w:rsidRDefault="00997AFB" w:rsidP="00457AF9">
      <w:pPr>
        <w:pStyle w:val="NormalWeb"/>
        <w:numPr>
          <w:ilvl w:val="0"/>
          <w:numId w:val="12"/>
        </w:numPr>
        <w:spacing w:before="0" w:beforeAutospacing="0" w:after="0" w:afterAutospacing="0"/>
        <w:ind w:left="1260" w:hanging="720"/>
        <w:rPr>
          <w:rFonts w:ascii="Calibri" w:hAnsi="Calibri" w:cs="Calibri"/>
          <w:color w:val="333333"/>
          <w:sz w:val="20"/>
          <w:szCs w:val="20"/>
        </w:rPr>
      </w:pPr>
      <w:r w:rsidRPr="00F53B74">
        <w:rPr>
          <w:rFonts w:ascii="Calibri" w:hAnsi="Calibri" w:cs="Calibri"/>
          <w:color w:val="333333"/>
          <w:sz w:val="20"/>
          <w:szCs w:val="20"/>
        </w:rPr>
        <w:t>Source</w:t>
      </w:r>
      <w:r w:rsidR="003C556E" w:rsidRPr="00F53B74">
        <w:rPr>
          <w:rFonts w:ascii="Calibri" w:hAnsi="Calibri" w:cs="Calibri"/>
          <w:color w:val="333333"/>
          <w:sz w:val="20"/>
          <w:szCs w:val="20"/>
        </w:rPr>
        <w:t>(s)</w:t>
      </w:r>
      <w:r w:rsidRPr="00F53B74">
        <w:rPr>
          <w:rFonts w:ascii="Calibri" w:hAnsi="Calibri" w:cs="Calibri"/>
          <w:color w:val="333333"/>
          <w:sz w:val="20"/>
          <w:szCs w:val="20"/>
        </w:rPr>
        <w:t xml:space="preserve"> of Funding</w:t>
      </w:r>
    </w:p>
    <w:p w14:paraId="20F2776D" w14:textId="77777777" w:rsidR="000570EF" w:rsidRPr="0092257A" w:rsidRDefault="000570EF" w:rsidP="000570EF">
      <w:pPr>
        <w:pStyle w:val="Default"/>
        <w:rPr>
          <w:rFonts w:ascii="Calibri" w:hAnsi="Calibri" w:cs="Calibri"/>
          <w:color w:val="FF0000"/>
          <w:sz w:val="20"/>
          <w:szCs w:val="20"/>
        </w:rPr>
      </w:pPr>
    </w:p>
    <w:p w14:paraId="23800A06" w14:textId="77777777" w:rsidR="004A3049" w:rsidRDefault="004A3049" w:rsidP="00E411CD">
      <w:pPr>
        <w:pStyle w:val="Heading2"/>
        <w:rPr>
          <w:rFonts w:asciiTheme="minorHAnsi" w:hAnsiTheme="minorHAnsi" w:cstheme="minorHAnsi"/>
          <w:b/>
          <w:color w:val="000000" w:themeColor="text1"/>
        </w:rPr>
      </w:pPr>
    </w:p>
    <w:p w14:paraId="2180EB97" w14:textId="192B0C35" w:rsidR="00E411CD" w:rsidRPr="00F53B74" w:rsidRDefault="00A02A28" w:rsidP="00E411CD">
      <w:pPr>
        <w:pStyle w:val="Heading2"/>
        <w:rPr>
          <w:rFonts w:asciiTheme="minorHAnsi" w:hAnsiTheme="minorHAnsi" w:cstheme="minorHAnsi"/>
          <w:b/>
          <w:color w:val="000000" w:themeColor="text1"/>
          <w:sz w:val="28"/>
          <w:szCs w:val="28"/>
        </w:rPr>
      </w:pPr>
      <w:r w:rsidRPr="00F53B74">
        <w:rPr>
          <w:rFonts w:asciiTheme="minorHAnsi" w:hAnsiTheme="minorHAnsi" w:cstheme="minorHAnsi"/>
          <w:b/>
          <w:color w:val="000000" w:themeColor="text1"/>
          <w:sz w:val="28"/>
          <w:szCs w:val="28"/>
        </w:rPr>
        <w:t xml:space="preserve">General </w:t>
      </w:r>
      <w:r w:rsidR="00F849CC" w:rsidRPr="00F53B74">
        <w:rPr>
          <w:rFonts w:asciiTheme="minorHAnsi" w:hAnsiTheme="minorHAnsi" w:cstheme="minorHAnsi"/>
          <w:b/>
          <w:color w:val="000000" w:themeColor="text1"/>
          <w:sz w:val="28"/>
          <w:szCs w:val="28"/>
        </w:rPr>
        <w:t xml:space="preserve">Spending and </w:t>
      </w:r>
      <w:r w:rsidRPr="00F53B74">
        <w:rPr>
          <w:rFonts w:asciiTheme="minorHAnsi" w:hAnsiTheme="minorHAnsi" w:cstheme="minorHAnsi"/>
          <w:b/>
          <w:color w:val="000000" w:themeColor="text1"/>
          <w:sz w:val="28"/>
          <w:szCs w:val="28"/>
        </w:rPr>
        <w:t>Travel</w:t>
      </w:r>
      <w:r w:rsidR="00E411CD" w:rsidRPr="00F53B74">
        <w:rPr>
          <w:rFonts w:asciiTheme="minorHAnsi" w:hAnsiTheme="minorHAnsi" w:cstheme="minorHAnsi"/>
          <w:b/>
          <w:color w:val="000000" w:themeColor="text1"/>
          <w:sz w:val="28"/>
          <w:szCs w:val="28"/>
        </w:rPr>
        <w:t xml:space="preserve"> Information</w:t>
      </w:r>
      <w:r w:rsidR="00697D0E" w:rsidRPr="00F53B74">
        <w:rPr>
          <w:rFonts w:asciiTheme="minorHAnsi" w:hAnsiTheme="minorHAnsi" w:cstheme="minorHAnsi"/>
          <w:b/>
          <w:color w:val="000000" w:themeColor="text1"/>
          <w:sz w:val="28"/>
          <w:szCs w:val="28"/>
        </w:rPr>
        <w:t>:</w:t>
      </w:r>
    </w:p>
    <w:p w14:paraId="1F74EEBA" w14:textId="77777777" w:rsidR="006142FC" w:rsidRPr="006142FC" w:rsidRDefault="006142FC" w:rsidP="006142FC"/>
    <w:p w14:paraId="1D6B852D" w14:textId="20EAC2A4" w:rsidR="001351F0" w:rsidRPr="00F53B74" w:rsidRDefault="00E411CD" w:rsidP="001351F0">
      <w:pPr>
        <w:pStyle w:val="ListParagraph"/>
        <w:numPr>
          <w:ilvl w:val="0"/>
          <w:numId w:val="5"/>
        </w:numPr>
        <w:spacing w:line="240" w:lineRule="auto"/>
        <w:ind w:left="360"/>
        <w:rPr>
          <w:rFonts w:cstheme="minorHAnsi"/>
          <w:sz w:val="20"/>
          <w:szCs w:val="20"/>
        </w:rPr>
      </w:pPr>
      <w:r w:rsidRPr="00F53B74">
        <w:rPr>
          <w:rFonts w:cstheme="minorHAnsi"/>
          <w:b/>
          <w:sz w:val="20"/>
          <w:szCs w:val="20"/>
        </w:rPr>
        <w:t xml:space="preserve">Your P-card should be used to cover </w:t>
      </w:r>
      <w:proofErr w:type="gramStart"/>
      <w:r w:rsidRPr="00F53B74">
        <w:rPr>
          <w:rFonts w:cstheme="minorHAnsi"/>
          <w:b/>
          <w:sz w:val="20"/>
          <w:szCs w:val="20"/>
        </w:rPr>
        <w:t>all of</w:t>
      </w:r>
      <w:proofErr w:type="gramEnd"/>
      <w:r w:rsidRPr="00F53B74">
        <w:rPr>
          <w:rFonts w:cstheme="minorHAnsi"/>
          <w:b/>
          <w:sz w:val="20"/>
          <w:szCs w:val="20"/>
        </w:rPr>
        <w:t xml:space="preserve"> your expenses. </w:t>
      </w:r>
      <w:r w:rsidRPr="00F53B74">
        <w:rPr>
          <w:rFonts w:cstheme="minorHAnsi"/>
          <w:sz w:val="20"/>
          <w:szCs w:val="20"/>
        </w:rPr>
        <w:t xml:space="preserve">Cash </w:t>
      </w:r>
      <w:r w:rsidR="00097334" w:rsidRPr="00F53B74">
        <w:rPr>
          <w:rFonts w:cstheme="minorHAnsi"/>
          <w:sz w:val="20"/>
          <w:szCs w:val="20"/>
        </w:rPr>
        <w:t xml:space="preserve">or personal credit cards </w:t>
      </w:r>
      <w:r w:rsidRPr="00F53B74">
        <w:rPr>
          <w:rFonts w:cstheme="minorHAnsi"/>
          <w:sz w:val="20"/>
          <w:szCs w:val="20"/>
        </w:rPr>
        <w:t xml:space="preserve">should not be used unless </w:t>
      </w:r>
      <w:proofErr w:type="gramStart"/>
      <w:r w:rsidRPr="00F53B74">
        <w:rPr>
          <w:rFonts w:cstheme="minorHAnsi"/>
          <w:sz w:val="20"/>
          <w:szCs w:val="20"/>
        </w:rPr>
        <w:t>absolutely necessary</w:t>
      </w:r>
      <w:proofErr w:type="gramEnd"/>
      <w:r w:rsidRPr="00F53B74">
        <w:rPr>
          <w:rFonts w:cstheme="minorHAnsi"/>
          <w:sz w:val="20"/>
          <w:szCs w:val="20"/>
        </w:rPr>
        <w:t>.</w:t>
      </w:r>
    </w:p>
    <w:p w14:paraId="3EF7D0FB" w14:textId="5ABC679C" w:rsidR="001351F0" w:rsidRPr="00F53B74" w:rsidRDefault="00481E29" w:rsidP="001351F0">
      <w:pPr>
        <w:pStyle w:val="ListParagraph"/>
        <w:numPr>
          <w:ilvl w:val="0"/>
          <w:numId w:val="5"/>
        </w:numPr>
        <w:ind w:left="360"/>
        <w:rPr>
          <w:rFonts w:cstheme="minorHAnsi"/>
          <w:sz w:val="20"/>
          <w:szCs w:val="20"/>
        </w:rPr>
      </w:pPr>
      <w:r w:rsidRPr="00F53B74">
        <w:rPr>
          <w:rFonts w:cstheme="minorHAnsi"/>
          <w:sz w:val="20"/>
          <w:szCs w:val="20"/>
        </w:rPr>
        <w:t xml:space="preserve">How you spend your allotment on your conference is </w:t>
      </w:r>
      <w:r w:rsidR="001351F0" w:rsidRPr="00F53B74">
        <w:rPr>
          <w:rFonts w:cstheme="minorHAnsi"/>
          <w:sz w:val="20"/>
          <w:szCs w:val="20"/>
        </w:rPr>
        <w:t>u</w:t>
      </w:r>
      <w:r w:rsidRPr="00F53B74">
        <w:rPr>
          <w:rFonts w:cstheme="minorHAnsi"/>
          <w:sz w:val="20"/>
          <w:szCs w:val="20"/>
        </w:rPr>
        <w:t>ltimately up to your discretion, providing that your expenses were listed on your proposal and were part of your award.</w:t>
      </w:r>
    </w:p>
    <w:p w14:paraId="4F3CAA6C" w14:textId="4A3CD5EF" w:rsidR="00D534F6" w:rsidRPr="00F53B74" w:rsidRDefault="00F8544E" w:rsidP="008B78E8">
      <w:pPr>
        <w:pStyle w:val="ListParagraph"/>
        <w:numPr>
          <w:ilvl w:val="0"/>
          <w:numId w:val="4"/>
        </w:numPr>
        <w:ind w:left="360"/>
        <w:rPr>
          <w:rFonts w:cstheme="minorHAnsi"/>
          <w:sz w:val="20"/>
          <w:szCs w:val="20"/>
        </w:rPr>
      </w:pPr>
      <w:r w:rsidRPr="00F53B74">
        <w:rPr>
          <w:rFonts w:cstheme="minorHAnsi"/>
          <w:sz w:val="20"/>
          <w:szCs w:val="20"/>
        </w:rPr>
        <w:t xml:space="preserve">Once the application </w:t>
      </w:r>
      <w:r w:rsidR="00CD1214" w:rsidRPr="00F53B74">
        <w:rPr>
          <w:rFonts w:cstheme="minorHAnsi"/>
          <w:sz w:val="20"/>
          <w:szCs w:val="20"/>
        </w:rPr>
        <w:t xml:space="preserve">(for request types A and C above) </w:t>
      </w:r>
      <w:r w:rsidRPr="00F53B74">
        <w:rPr>
          <w:rFonts w:cstheme="minorHAnsi"/>
          <w:sz w:val="20"/>
          <w:szCs w:val="20"/>
        </w:rPr>
        <w:t xml:space="preserve">is approved, PDC will send an automatic </w:t>
      </w:r>
      <w:r w:rsidR="004C33DE" w:rsidRPr="00F53B74">
        <w:rPr>
          <w:rFonts w:cstheme="minorHAnsi"/>
          <w:sz w:val="20"/>
          <w:szCs w:val="20"/>
        </w:rPr>
        <w:t>notification</w:t>
      </w:r>
      <w:r w:rsidRPr="00F53B74">
        <w:rPr>
          <w:rFonts w:cstheme="minorHAnsi"/>
          <w:sz w:val="20"/>
          <w:szCs w:val="20"/>
        </w:rPr>
        <w:t xml:space="preserve"> to the department chair.</w:t>
      </w:r>
    </w:p>
    <w:p w14:paraId="2FC4FEC6" w14:textId="6783F512" w:rsidR="00481E29" w:rsidRPr="00F53B74" w:rsidRDefault="00481E29" w:rsidP="008B78E8">
      <w:pPr>
        <w:pStyle w:val="ListParagraph"/>
        <w:numPr>
          <w:ilvl w:val="0"/>
          <w:numId w:val="4"/>
        </w:numPr>
        <w:ind w:left="360"/>
        <w:rPr>
          <w:rFonts w:cstheme="minorHAnsi"/>
          <w:sz w:val="20"/>
          <w:szCs w:val="20"/>
        </w:rPr>
      </w:pPr>
      <w:r w:rsidRPr="00F53B74">
        <w:rPr>
          <w:rFonts w:cstheme="minorHAnsi"/>
          <w:sz w:val="20"/>
          <w:szCs w:val="20"/>
        </w:rPr>
        <w:t>The “Budget Estimate” should be as accurate as possible.</w:t>
      </w:r>
    </w:p>
    <w:p w14:paraId="4C5D9851" w14:textId="3B314E99" w:rsidR="00E06037" w:rsidRPr="00F53B74" w:rsidRDefault="00E06037" w:rsidP="008B78E8">
      <w:pPr>
        <w:pStyle w:val="ListParagraph"/>
        <w:numPr>
          <w:ilvl w:val="1"/>
          <w:numId w:val="4"/>
        </w:numPr>
        <w:ind w:left="1080"/>
        <w:rPr>
          <w:rFonts w:cstheme="minorHAnsi"/>
          <w:sz w:val="20"/>
          <w:szCs w:val="20"/>
        </w:rPr>
      </w:pPr>
      <w:r w:rsidRPr="00F53B74">
        <w:rPr>
          <w:rFonts w:cstheme="minorHAnsi"/>
          <w:sz w:val="20"/>
          <w:szCs w:val="20"/>
        </w:rPr>
        <w:lastRenderedPageBreak/>
        <w:t xml:space="preserve">For </w:t>
      </w:r>
      <w:r w:rsidR="00F20E55" w:rsidRPr="00F53B74">
        <w:rPr>
          <w:rFonts w:cstheme="minorHAnsi"/>
          <w:sz w:val="20"/>
          <w:szCs w:val="20"/>
        </w:rPr>
        <w:t>domestic travel</w:t>
      </w:r>
      <w:r w:rsidRPr="00F53B74">
        <w:rPr>
          <w:rFonts w:cstheme="minorHAnsi"/>
          <w:sz w:val="20"/>
          <w:szCs w:val="20"/>
        </w:rPr>
        <w:t>, please see the federal government per diem rates (</w:t>
      </w:r>
      <w:hyperlink r:id="rId11" w:history="1">
        <w:r w:rsidRPr="00F53B74">
          <w:rPr>
            <w:rStyle w:val="Hyperlink"/>
            <w:rFonts w:cstheme="minorHAnsi"/>
            <w:sz w:val="20"/>
            <w:szCs w:val="20"/>
          </w:rPr>
          <w:t>https://www.gsa.gov/travel/plan-book/per-diem-rates</w:t>
        </w:r>
      </w:hyperlink>
      <w:r w:rsidRPr="00F53B74">
        <w:rPr>
          <w:rFonts w:cstheme="minorHAnsi"/>
          <w:sz w:val="20"/>
          <w:szCs w:val="20"/>
        </w:rPr>
        <w:t>)</w:t>
      </w:r>
    </w:p>
    <w:p w14:paraId="5908D7B2" w14:textId="77777777" w:rsidR="00F20E55" w:rsidRPr="00F53B74" w:rsidRDefault="00F20E55" w:rsidP="008B78E8">
      <w:pPr>
        <w:pStyle w:val="ListParagraph"/>
        <w:numPr>
          <w:ilvl w:val="1"/>
          <w:numId w:val="4"/>
        </w:numPr>
        <w:spacing w:after="0" w:line="240" w:lineRule="auto"/>
        <w:ind w:left="1080"/>
        <w:contextualSpacing w:val="0"/>
        <w:rPr>
          <w:rFonts w:eastAsia="Times New Roman"/>
          <w:sz w:val="20"/>
          <w:szCs w:val="20"/>
        </w:rPr>
      </w:pPr>
      <w:r w:rsidRPr="00F53B74">
        <w:rPr>
          <w:rFonts w:eastAsia="Times New Roman"/>
          <w:sz w:val="20"/>
          <w:szCs w:val="20"/>
        </w:rPr>
        <w:t xml:space="preserve">For international travel, use: </w:t>
      </w:r>
      <w:hyperlink r:id="rId12" w:history="1">
        <w:r w:rsidRPr="00F53B74">
          <w:rPr>
            <w:rStyle w:val="Hyperlink"/>
            <w:rFonts w:eastAsia="Times New Roman"/>
            <w:sz w:val="20"/>
            <w:szCs w:val="20"/>
          </w:rPr>
          <w:t>https://aoprals.state.gov/web920/per_diem_action.asp?MenuHide=1&amp;CountryCode=0000</w:t>
        </w:r>
      </w:hyperlink>
    </w:p>
    <w:p w14:paraId="76F25971" w14:textId="215E851A" w:rsidR="00061991" w:rsidRPr="00F53B74" w:rsidRDefault="00F20E55" w:rsidP="008B78E8">
      <w:pPr>
        <w:pStyle w:val="ListParagraph"/>
        <w:spacing w:after="0" w:line="240" w:lineRule="auto"/>
        <w:ind w:left="1080"/>
        <w:contextualSpacing w:val="0"/>
        <w:rPr>
          <w:rFonts w:eastAsia="Times New Roman"/>
          <w:sz w:val="20"/>
          <w:szCs w:val="20"/>
        </w:rPr>
      </w:pPr>
      <w:r w:rsidRPr="00F53B74">
        <w:rPr>
          <w:rFonts w:eastAsia="Times New Roman"/>
          <w:sz w:val="20"/>
          <w:szCs w:val="20"/>
          <w:u w:val="single"/>
        </w:rPr>
        <w:t xml:space="preserve">and/or </w:t>
      </w:r>
    </w:p>
    <w:p w14:paraId="30FBE93B" w14:textId="12FD0765" w:rsidR="000D5950" w:rsidRPr="00F53B74" w:rsidRDefault="00AB2C28" w:rsidP="008B78E8">
      <w:pPr>
        <w:pStyle w:val="ListParagraph"/>
        <w:spacing w:after="0" w:line="240" w:lineRule="auto"/>
        <w:ind w:left="1080"/>
        <w:contextualSpacing w:val="0"/>
        <w:rPr>
          <w:rFonts w:eastAsia="Times New Roman"/>
          <w:sz w:val="20"/>
          <w:szCs w:val="20"/>
        </w:rPr>
      </w:pPr>
      <w:hyperlink r:id="rId13" w:history="1">
        <w:r w:rsidR="00061991" w:rsidRPr="00F53B74">
          <w:rPr>
            <w:rStyle w:val="Hyperlink"/>
            <w:rFonts w:eastAsia="Times New Roman"/>
            <w:sz w:val="20"/>
            <w:szCs w:val="20"/>
          </w:rPr>
          <w:t>https://aoprals.state.gov/web920/per_diem.asp</w:t>
        </w:r>
      </w:hyperlink>
    </w:p>
    <w:p w14:paraId="3A614F33" w14:textId="216BA6B0" w:rsidR="00481E29" w:rsidRPr="00F53B74" w:rsidRDefault="001C3EF6" w:rsidP="008B78E8">
      <w:pPr>
        <w:pStyle w:val="ListParagraph"/>
        <w:numPr>
          <w:ilvl w:val="0"/>
          <w:numId w:val="4"/>
        </w:numPr>
        <w:ind w:left="360"/>
        <w:rPr>
          <w:rFonts w:cstheme="minorHAnsi"/>
          <w:sz w:val="20"/>
          <w:szCs w:val="20"/>
        </w:rPr>
      </w:pPr>
      <w:r w:rsidRPr="00F53B74">
        <w:rPr>
          <w:rFonts w:cstheme="minorHAnsi"/>
          <w:sz w:val="20"/>
          <w:szCs w:val="20"/>
        </w:rPr>
        <w:t>For PDC-awarded funding</w:t>
      </w:r>
      <w:r w:rsidR="009C0E7C" w:rsidRPr="00F53B74">
        <w:rPr>
          <w:rFonts w:cstheme="minorHAnsi"/>
          <w:sz w:val="20"/>
          <w:szCs w:val="20"/>
        </w:rPr>
        <w:t xml:space="preserve"> (for request types A and C above)</w:t>
      </w:r>
      <w:r w:rsidRPr="00F53B74">
        <w:rPr>
          <w:rFonts w:cstheme="minorHAnsi"/>
          <w:sz w:val="20"/>
          <w:szCs w:val="20"/>
        </w:rPr>
        <w:t>, f</w:t>
      </w:r>
      <w:r w:rsidR="00481E29" w:rsidRPr="00F53B74">
        <w:rPr>
          <w:rFonts w:cstheme="minorHAnsi"/>
          <w:sz w:val="20"/>
          <w:szCs w:val="20"/>
        </w:rPr>
        <w:t xml:space="preserve">aculty members will be notified of the amount of their award via email </w:t>
      </w:r>
      <w:r w:rsidR="00A03D01" w:rsidRPr="00F53B74">
        <w:rPr>
          <w:rFonts w:cstheme="minorHAnsi"/>
          <w:sz w:val="20"/>
          <w:szCs w:val="20"/>
        </w:rPr>
        <w:t xml:space="preserve">within </w:t>
      </w:r>
      <w:r w:rsidR="00D22638" w:rsidRPr="00F53B74">
        <w:rPr>
          <w:rFonts w:cstheme="minorHAnsi"/>
          <w:sz w:val="20"/>
          <w:szCs w:val="20"/>
        </w:rPr>
        <w:t>one month</w:t>
      </w:r>
      <w:r w:rsidR="00481E29" w:rsidRPr="00F53B74">
        <w:rPr>
          <w:rFonts w:cstheme="minorHAnsi"/>
          <w:sz w:val="20"/>
          <w:szCs w:val="20"/>
        </w:rPr>
        <w:t xml:space="preserve"> after </w:t>
      </w:r>
      <w:r w:rsidR="00356530" w:rsidRPr="00F53B74">
        <w:rPr>
          <w:rFonts w:cstheme="minorHAnsi"/>
          <w:sz w:val="20"/>
          <w:szCs w:val="20"/>
        </w:rPr>
        <w:t>their application is submitted.</w:t>
      </w:r>
      <w:r w:rsidR="00646F7F" w:rsidRPr="00F53B74">
        <w:rPr>
          <w:rFonts w:cstheme="minorHAnsi"/>
          <w:sz w:val="20"/>
          <w:szCs w:val="20"/>
        </w:rPr>
        <w:t xml:space="preserve"> Please</w:t>
      </w:r>
      <w:r w:rsidR="00122BAC" w:rsidRPr="00F53B74">
        <w:rPr>
          <w:rFonts w:cstheme="minorHAnsi"/>
          <w:sz w:val="20"/>
          <w:szCs w:val="20"/>
        </w:rPr>
        <w:t>,</w:t>
      </w:r>
      <w:r w:rsidR="00646F7F" w:rsidRPr="00F53B74">
        <w:rPr>
          <w:rFonts w:cstheme="minorHAnsi"/>
          <w:sz w:val="20"/>
          <w:szCs w:val="20"/>
        </w:rPr>
        <w:t xml:space="preserve"> plan accordingly.</w:t>
      </w:r>
    </w:p>
    <w:p w14:paraId="195FA751" w14:textId="1FFA696C" w:rsidR="00481E29" w:rsidRPr="00F53B74" w:rsidRDefault="00E70076" w:rsidP="008B78E8">
      <w:pPr>
        <w:pStyle w:val="ListParagraph"/>
        <w:numPr>
          <w:ilvl w:val="0"/>
          <w:numId w:val="4"/>
        </w:numPr>
        <w:ind w:left="360"/>
        <w:rPr>
          <w:rFonts w:cstheme="minorHAnsi"/>
          <w:sz w:val="20"/>
          <w:szCs w:val="20"/>
        </w:rPr>
      </w:pPr>
      <w:r w:rsidRPr="00F53B74">
        <w:rPr>
          <w:rFonts w:cstheme="minorHAnsi"/>
          <w:sz w:val="20"/>
          <w:szCs w:val="20"/>
        </w:rPr>
        <w:t>Additional</w:t>
      </w:r>
      <w:r w:rsidR="00481E29" w:rsidRPr="00F53B74">
        <w:rPr>
          <w:rFonts w:cstheme="minorHAnsi"/>
          <w:sz w:val="20"/>
          <w:szCs w:val="20"/>
        </w:rPr>
        <w:t xml:space="preserve"> </w:t>
      </w:r>
      <w:r w:rsidR="004F6BBB" w:rsidRPr="00F9106F">
        <w:rPr>
          <w:rFonts w:cstheme="minorHAnsi"/>
          <w:sz w:val="20"/>
          <w:szCs w:val="20"/>
        </w:rPr>
        <w:t>applications</w:t>
      </w:r>
      <w:r w:rsidR="00B75A23" w:rsidRPr="00F9106F">
        <w:rPr>
          <w:rFonts w:cstheme="minorHAnsi"/>
          <w:sz w:val="20"/>
          <w:szCs w:val="20"/>
        </w:rPr>
        <w:t>, i.e. more than one per academic year,</w:t>
      </w:r>
      <w:r w:rsidR="00481E29" w:rsidRPr="00F9106F">
        <w:rPr>
          <w:rFonts w:cstheme="minorHAnsi"/>
          <w:sz w:val="20"/>
          <w:szCs w:val="20"/>
        </w:rPr>
        <w:t xml:space="preserve"> </w:t>
      </w:r>
      <w:r w:rsidR="00061991" w:rsidRPr="00F9106F">
        <w:rPr>
          <w:rFonts w:cstheme="minorHAnsi"/>
          <w:sz w:val="20"/>
          <w:szCs w:val="20"/>
        </w:rPr>
        <w:t>are welcome</w:t>
      </w:r>
      <w:r w:rsidR="00061991" w:rsidRPr="00F53B74">
        <w:rPr>
          <w:rFonts w:cstheme="minorHAnsi"/>
          <w:sz w:val="20"/>
          <w:szCs w:val="20"/>
        </w:rPr>
        <w:t xml:space="preserve"> </w:t>
      </w:r>
      <w:r w:rsidR="00816961" w:rsidRPr="00F53B74">
        <w:rPr>
          <w:rFonts w:cstheme="minorHAnsi"/>
          <w:sz w:val="20"/>
          <w:szCs w:val="20"/>
        </w:rPr>
        <w:t xml:space="preserve">within the </w:t>
      </w:r>
      <w:r w:rsidR="001C3EF6" w:rsidRPr="00F53B74">
        <w:rPr>
          <w:rFonts w:cstheme="minorHAnsi"/>
          <w:sz w:val="20"/>
          <w:szCs w:val="20"/>
        </w:rPr>
        <w:t xml:space="preserve">money </w:t>
      </w:r>
      <w:r w:rsidR="00816961" w:rsidRPr="00F53B74">
        <w:rPr>
          <w:rFonts w:cstheme="minorHAnsi"/>
          <w:sz w:val="20"/>
          <w:szCs w:val="20"/>
        </w:rPr>
        <w:t>caps noted above.</w:t>
      </w:r>
    </w:p>
    <w:p w14:paraId="2608F69A" w14:textId="77777777" w:rsidR="006F3472" w:rsidRDefault="006F3472" w:rsidP="00CF6773">
      <w:pPr>
        <w:pStyle w:val="Heading1"/>
        <w:rPr>
          <w:rFonts w:asciiTheme="minorHAnsi" w:hAnsiTheme="minorHAnsi" w:cstheme="minorHAnsi"/>
          <w:b/>
          <w:color w:val="auto"/>
          <w:sz w:val="26"/>
          <w:szCs w:val="26"/>
        </w:rPr>
      </w:pPr>
    </w:p>
    <w:p w14:paraId="330ADB17" w14:textId="5A08FE19" w:rsidR="00CF6773" w:rsidRPr="00F53B74" w:rsidRDefault="007E598C" w:rsidP="00CF6773">
      <w:pPr>
        <w:pStyle w:val="Heading1"/>
        <w:rPr>
          <w:rFonts w:asciiTheme="minorHAnsi" w:hAnsiTheme="minorHAnsi" w:cstheme="minorHAnsi"/>
          <w:color w:val="auto"/>
          <w:sz w:val="28"/>
          <w:szCs w:val="28"/>
        </w:rPr>
      </w:pPr>
      <w:r w:rsidRPr="00F53B74">
        <w:rPr>
          <w:rFonts w:asciiTheme="minorHAnsi" w:hAnsiTheme="minorHAnsi" w:cstheme="minorHAnsi"/>
          <w:b/>
          <w:color w:val="auto"/>
          <w:sz w:val="28"/>
          <w:szCs w:val="28"/>
        </w:rPr>
        <w:t xml:space="preserve">Post-Event </w:t>
      </w:r>
      <w:r w:rsidR="00CF6773" w:rsidRPr="00F53B74">
        <w:rPr>
          <w:rFonts w:asciiTheme="minorHAnsi" w:hAnsiTheme="minorHAnsi" w:cstheme="minorHAnsi"/>
          <w:b/>
          <w:color w:val="auto"/>
          <w:sz w:val="28"/>
          <w:szCs w:val="28"/>
        </w:rPr>
        <w:t>Reporting Guidelines</w:t>
      </w:r>
      <w:r w:rsidR="009C0E7C" w:rsidRPr="00F53B74">
        <w:rPr>
          <w:rFonts w:asciiTheme="minorHAnsi" w:hAnsiTheme="minorHAnsi" w:cstheme="minorHAnsi"/>
          <w:b/>
          <w:color w:val="auto"/>
          <w:sz w:val="28"/>
          <w:szCs w:val="28"/>
        </w:rPr>
        <w:t xml:space="preserve"> </w:t>
      </w:r>
      <w:r w:rsidR="00457AF9" w:rsidRPr="00F53B74">
        <w:rPr>
          <w:rFonts w:asciiTheme="minorHAnsi" w:hAnsiTheme="minorHAnsi" w:cstheme="minorHAnsi"/>
          <w:b/>
          <w:color w:val="auto"/>
          <w:sz w:val="28"/>
          <w:szCs w:val="28"/>
        </w:rPr>
        <w:t>(</w:t>
      </w:r>
      <w:r w:rsidR="009C0E7C" w:rsidRPr="00F53B74">
        <w:rPr>
          <w:rFonts w:asciiTheme="minorHAnsi" w:hAnsiTheme="minorHAnsi" w:cstheme="minorHAnsi"/>
          <w:b/>
          <w:color w:val="auto"/>
          <w:sz w:val="28"/>
          <w:szCs w:val="28"/>
        </w:rPr>
        <w:t>for request types A and C above</w:t>
      </w:r>
      <w:r w:rsidR="009C0E7C" w:rsidRPr="00F53B74">
        <w:rPr>
          <w:rFonts w:asciiTheme="minorHAnsi" w:hAnsiTheme="minorHAnsi" w:cstheme="minorHAnsi"/>
          <w:color w:val="auto"/>
          <w:sz w:val="28"/>
          <w:szCs w:val="28"/>
        </w:rPr>
        <w:t>)</w:t>
      </w:r>
      <w:r w:rsidR="00EA72DB" w:rsidRPr="00F53B74">
        <w:rPr>
          <w:rFonts w:asciiTheme="minorHAnsi" w:hAnsiTheme="minorHAnsi" w:cstheme="minorHAnsi"/>
          <w:color w:val="auto"/>
          <w:sz w:val="28"/>
          <w:szCs w:val="28"/>
        </w:rPr>
        <w:t>:</w:t>
      </w:r>
    </w:p>
    <w:p w14:paraId="19B2458C" w14:textId="77777777" w:rsidR="006142FC" w:rsidRPr="00F53B74" w:rsidRDefault="006142FC" w:rsidP="006142FC">
      <w:pPr>
        <w:rPr>
          <w:sz w:val="20"/>
          <w:szCs w:val="20"/>
        </w:rPr>
      </w:pPr>
    </w:p>
    <w:p w14:paraId="5EF658FC" w14:textId="2A04A46F" w:rsidR="00DD6217" w:rsidRDefault="00B44A8C" w:rsidP="00DD6217">
      <w:pPr>
        <w:rPr>
          <w:rFonts w:cstheme="minorHAnsi"/>
          <w:sz w:val="20"/>
          <w:szCs w:val="20"/>
        </w:rPr>
      </w:pPr>
      <w:r w:rsidRPr="00F53B74">
        <w:rPr>
          <w:rFonts w:cstheme="minorHAnsi"/>
          <w:sz w:val="20"/>
          <w:szCs w:val="20"/>
        </w:rPr>
        <w:t xml:space="preserve">Within </w:t>
      </w:r>
      <w:r w:rsidRPr="00F53B74">
        <w:rPr>
          <w:rFonts w:cstheme="minorHAnsi"/>
          <w:b/>
          <w:sz w:val="20"/>
          <w:szCs w:val="20"/>
          <w:u w:val="single"/>
        </w:rPr>
        <w:t>two weeks</w:t>
      </w:r>
      <w:r w:rsidRPr="00F53B74">
        <w:rPr>
          <w:rFonts w:cstheme="minorHAnsi"/>
          <w:sz w:val="20"/>
          <w:szCs w:val="20"/>
        </w:rPr>
        <w:t xml:space="preserve"> of returning from any </w:t>
      </w:r>
      <w:r w:rsidRPr="00F53B74">
        <w:rPr>
          <w:rFonts w:cstheme="minorHAnsi"/>
          <w:i/>
          <w:iCs/>
          <w:sz w:val="20"/>
          <w:szCs w:val="20"/>
        </w:rPr>
        <w:t>PDC</w:t>
      </w:r>
      <w:r w:rsidR="00341876" w:rsidRPr="00F53B74">
        <w:rPr>
          <w:rFonts w:cstheme="minorHAnsi"/>
          <w:i/>
          <w:iCs/>
          <w:sz w:val="20"/>
          <w:szCs w:val="20"/>
        </w:rPr>
        <w:t>-</w:t>
      </w:r>
      <w:r w:rsidRPr="00F53B74">
        <w:rPr>
          <w:rFonts w:cstheme="minorHAnsi"/>
          <w:i/>
          <w:iCs/>
          <w:sz w:val="20"/>
          <w:szCs w:val="20"/>
        </w:rPr>
        <w:t>supported</w:t>
      </w:r>
      <w:r w:rsidRPr="00F53B74">
        <w:rPr>
          <w:rFonts w:cstheme="minorHAnsi"/>
          <w:sz w:val="20"/>
          <w:szCs w:val="20"/>
        </w:rPr>
        <w:t xml:space="preserve"> event</w:t>
      </w:r>
      <w:r w:rsidR="004C4202" w:rsidRPr="00F53B74">
        <w:rPr>
          <w:rFonts w:cstheme="minorHAnsi"/>
          <w:sz w:val="20"/>
          <w:szCs w:val="20"/>
        </w:rPr>
        <w:t xml:space="preserve"> (request types A and C above)</w:t>
      </w:r>
      <w:r w:rsidRPr="00F53B74">
        <w:rPr>
          <w:rFonts w:cstheme="minorHAnsi"/>
          <w:sz w:val="20"/>
          <w:szCs w:val="20"/>
        </w:rPr>
        <w:t>, faculty are required to:</w:t>
      </w:r>
    </w:p>
    <w:p w14:paraId="2BC094A3" w14:textId="77777777" w:rsidR="00DD6217" w:rsidRDefault="00DD6217" w:rsidP="009025AB">
      <w:pPr>
        <w:pStyle w:val="ListParagraph"/>
        <w:numPr>
          <w:ilvl w:val="0"/>
          <w:numId w:val="37"/>
        </w:numPr>
        <w:spacing w:line="252" w:lineRule="auto"/>
        <w:ind w:left="720"/>
        <w:rPr>
          <w:rFonts w:cstheme="minorHAnsi"/>
          <w:sz w:val="20"/>
          <w:szCs w:val="20"/>
        </w:rPr>
      </w:pPr>
      <w:r>
        <w:rPr>
          <w:rFonts w:cstheme="minorHAnsi"/>
          <w:sz w:val="20"/>
          <w:szCs w:val="20"/>
        </w:rPr>
        <w:t xml:space="preserve">Fill out the </w:t>
      </w:r>
      <w:r>
        <w:rPr>
          <w:rFonts w:cstheme="minorHAnsi"/>
          <w:b/>
          <w:sz w:val="20"/>
          <w:szCs w:val="20"/>
        </w:rPr>
        <w:t>PDC</w:t>
      </w:r>
      <w:r>
        <w:rPr>
          <w:rFonts w:cstheme="minorHAnsi"/>
          <w:sz w:val="20"/>
          <w:szCs w:val="20"/>
        </w:rPr>
        <w:t xml:space="preserve"> </w:t>
      </w:r>
      <w:r>
        <w:rPr>
          <w:rFonts w:cstheme="minorHAnsi"/>
          <w:b/>
          <w:bCs/>
          <w:sz w:val="20"/>
          <w:szCs w:val="20"/>
        </w:rPr>
        <w:t>Financial</w:t>
      </w:r>
      <w:r>
        <w:rPr>
          <w:rFonts w:cstheme="minorHAnsi"/>
          <w:sz w:val="20"/>
          <w:szCs w:val="20"/>
        </w:rPr>
        <w:t xml:space="preserve"> </w:t>
      </w:r>
      <w:r>
        <w:rPr>
          <w:rFonts w:cstheme="minorHAnsi"/>
          <w:b/>
          <w:sz w:val="20"/>
          <w:szCs w:val="20"/>
        </w:rPr>
        <w:t>Reconciliation Form, which can be found on the PDC portal.</w:t>
      </w:r>
      <w:r>
        <w:rPr>
          <w:rFonts w:cstheme="minorHAnsi"/>
          <w:sz w:val="20"/>
          <w:szCs w:val="20"/>
        </w:rPr>
        <w:t xml:space="preserve"> Use Notes at the end of the form to communicate any issues, irregularities, or recommendations. Any questions about completing the form should be directed to the PDC Staff Assistant, Heather Bumbarger.</w:t>
      </w:r>
    </w:p>
    <w:p w14:paraId="161309EF" w14:textId="77777777" w:rsidR="00DD6217" w:rsidRDefault="00DD6217" w:rsidP="009025AB">
      <w:pPr>
        <w:pStyle w:val="ListParagraph"/>
        <w:rPr>
          <w:rFonts w:cstheme="minorHAnsi"/>
          <w:sz w:val="20"/>
          <w:szCs w:val="20"/>
        </w:rPr>
      </w:pPr>
    </w:p>
    <w:p w14:paraId="7370CBB2" w14:textId="77777777" w:rsidR="00DD6217" w:rsidRDefault="00DD6217" w:rsidP="009025AB">
      <w:pPr>
        <w:pStyle w:val="ListParagraph"/>
        <w:numPr>
          <w:ilvl w:val="0"/>
          <w:numId w:val="37"/>
        </w:numPr>
        <w:spacing w:line="252" w:lineRule="auto"/>
        <w:ind w:left="720"/>
        <w:rPr>
          <w:rFonts w:cstheme="minorHAnsi"/>
          <w:sz w:val="20"/>
          <w:szCs w:val="20"/>
        </w:rPr>
      </w:pPr>
      <w:r>
        <w:rPr>
          <w:rFonts w:cstheme="minorHAnsi"/>
          <w:sz w:val="20"/>
          <w:szCs w:val="20"/>
        </w:rPr>
        <w:t xml:space="preserve">Submit the completed </w:t>
      </w:r>
      <w:r>
        <w:rPr>
          <w:rFonts w:cstheme="minorHAnsi"/>
          <w:b/>
          <w:sz w:val="20"/>
          <w:szCs w:val="20"/>
        </w:rPr>
        <w:t>Reconciliation Form</w:t>
      </w:r>
      <w:r>
        <w:rPr>
          <w:rFonts w:cstheme="minorHAnsi"/>
          <w:sz w:val="20"/>
          <w:szCs w:val="20"/>
        </w:rPr>
        <w:t xml:space="preserve"> into the PDC Portal, where it will be viewed by PDC Staff Assistant, Heather Bumbarger.</w:t>
      </w:r>
    </w:p>
    <w:p w14:paraId="49435C81" w14:textId="77777777" w:rsidR="00DD6217" w:rsidRDefault="00DD6217" w:rsidP="009025AB">
      <w:pPr>
        <w:pStyle w:val="ListParagraph"/>
        <w:rPr>
          <w:rFonts w:cstheme="minorHAnsi"/>
          <w:sz w:val="20"/>
          <w:szCs w:val="20"/>
        </w:rPr>
      </w:pPr>
    </w:p>
    <w:p w14:paraId="1BD9F19D" w14:textId="56A6CD38" w:rsidR="00B96BE1" w:rsidRDefault="00B96BE1" w:rsidP="009025AB">
      <w:pPr>
        <w:pStyle w:val="ListParagraph"/>
        <w:numPr>
          <w:ilvl w:val="0"/>
          <w:numId w:val="38"/>
        </w:numPr>
        <w:spacing w:line="252" w:lineRule="auto"/>
        <w:ind w:left="720"/>
        <w:rPr>
          <w:rFonts w:eastAsia="Times New Roman"/>
          <w:sz w:val="20"/>
          <w:szCs w:val="20"/>
        </w:rPr>
      </w:pPr>
      <w:r w:rsidRPr="00BB0E7F">
        <w:rPr>
          <w:rFonts w:eastAsia="Times New Roman"/>
          <w:sz w:val="20"/>
          <w:szCs w:val="20"/>
        </w:rPr>
        <w:t xml:space="preserve">For mileage reimbursement (use of personal vehicle) and cash expenses, complete a </w:t>
      </w:r>
      <w:r w:rsidRPr="00BB0E7F">
        <w:rPr>
          <w:rFonts w:eastAsia="Times New Roman"/>
          <w:b/>
          <w:bCs/>
          <w:sz w:val="20"/>
          <w:szCs w:val="20"/>
        </w:rPr>
        <w:t>Travel Voucher Form.</w:t>
      </w:r>
      <w:r w:rsidRPr="00BB0E7F">
        <w:rPr>
          <w:rFonts w:eastAsia="Times New Roman"/>
          <w:sz w:val="20"/>
          <w:szCs w:val="20"/>
        </w:rPr>
        <w:t xml:space="preserve"> Forms can be found at </w:t>
      </w:r>
      <w:hyperlink r:id="rId14" w:history="1">
        <w:r w:rsidRPr="00BB0E7F">
          <w:rPr>
            <w:rStyle w:val="Hyperlink"/>
            <w:rFonts w:eastAsia="Times New Roman"/>
            <w:sz w:val="20"/>
            <w:szCs w:val="20"/>
          </w:rPr>
          <w:t>https://arch.juniata.edu/employees/finance-and-operations</w:t>
        </w:r>
      </w:hyperlink>
      <w:r w:rsidRPr="00BB0E7F">
        <w:rPr>
          <w:rFonts w:eastAsia="Times New Roman"/>
          <w:sz w:val="20"/>
          <w:szCs w:val="20"/>
        </w:rPr>
        <w:t>. Submit the form and receipts to the PDC Staff</w:t>
      </w:r>
      <w:r>
        <w:rPr>
          <w:rFonts w:eastAsia="Times New Roman"/>
          <w:sz w:val="20"/>
          <w:szCs w:val="20"/>
        </w:rPr>
        <w:t xml:space="preserve"> Assistant, Heather Bumbarger.</w:t>
      </w:r>
    </w:p>
    <w:p w14:paraId="083F591A" w14:textId="77777777" w:rsidR="00B96BE1" w:rsidRDefault="00B96BE1" w:rsidP="009025AB">
      <w:pPr>
        <w:pStyle w:val="ListParagraph"/>
        <w:spacing w:line="252" w:lineRule="auto"/>
        <w:rPr>
          <w:rFonts w:eastAsia="Times New Roman"/>
          <w:sz w:val="20"/>
          <w:szCs w:val="20"/>
        </w:rPr>
      </w:pPr>
    </w:p>
    <w:p w14:paraId="1316CCE9" w14:textId="229F69D7" w:rsidR="00B96BE1" w:rsidRDefault="00B96BE1" w:rsidP="009025AB">
      <w:pPr>
        <w:pStyle w:val="ListParagraph"/>
        <w:numPr>
          <w:ilvl w:val="0"/>
          <w:numId w:val="38"/>
        </w:numPr>
        <w:spacing w:line="252" w:lineRule="auto"/>
        <w:ind w:left="720"/>
        <w:rPr>
          <w:rFonts w:eastAsia="Times New Roman"/>
          <w:sz w:val="20"/>
          <w:szCs w:val="20"/>
        </w:rPr>
      </w:pPr>
      <w:r>
        <w:rPr>
          <w:rFonts w:eastAsia="Times New Roman"/>
          <w:sz w:val="20"/>
          <w:szCs w:val="20"/>
        </w:rPr>
        <w:t>Make a copy of your P-card receipts that were charged to PDC.  The original receipts should be given to your P-card manager.  The copies should be sent to the PDC Staff Assistant, Heather Bumbarger.</w:t>
      </w:r>
    </w:p>
    <w:p w14:paraId="305CDD21" w14:textId="77777777" w:rsidR="00E06AC9" w:rsidRPr="00E06AC9" w:rsidRDefault="00E06AC9" w:rsidP="00E06AC9">
      <w:pPr>
        <w:pStyle w:val="ListParagraph"/>
        <w:spacing w:line="252" w:lineRule="auto"/>
        <w:ind w:left="360"/>
        <w:rPr>
          <w:rFonts w:cstheme="minorHAnsi"/>
          <w:sz w:val="20"/>
          <w:szCs w:val="20"/>
        </w:rPr>
      </w:pPr>
    </w:p>
    <w:p w14:paraId="2B385736" w14:textId="77777777" w:rsidR="00232BCF" w:rsidRPr="00F53B74" w:rsidRDefault="00B44A8C" w:rsidP="008B78E8">
      <w:pPr>
        <w:pStyle w:val="ListParagraph"/>
        <w:numPr>
          <w:ilvl w:val="0"/>
          <w:numId w:val="36"/>
        </w:numPr>
        <w:rPr>
          <w:rFonts w:cstheme="minorHAnsi"/>
          <w:bCs/>
          <w:sz w:val="20"/>
          <w:szCs w:val="20"/>
        </w:rPr>
      </w:pPr>
      <w:r w:rsidRPr="00F53B74">
        <w:rPr>
          <w:rFonts w:cstheme="minorHAnsi"/>
          <w:bCs/>
          <w:sz w:val="20"/>
          <w:szCs w:val="20"/>
        </w:rPr>
        <w:t xml:space="preserve">If a faculty member fails to submit </w:t>
      </w:r>
      <w:r w:rsidR="001C7314" w:rsidRPr="00F53B74">
        <w:rPr>
          <w:rFonts w:cstheme="minorHAnsi"/>
          <w:bCs/>
          <w:sz w:val="20"/>
          <w:szCs w:val="20"/>
        </w:rPr>
        <w:t xml:space="preserve">the Reconciliation Form </w:t>
      </w:r>
      <w:r w:rsidRPr="00F53B74">
        <w:rPr>
          <w:rFonts w:cstheme="minorHAnsi"/>
          <w:bCs/>
          <w:sz w:val="20"/>
          <w:szCs w:val="20"/>
        </w:rPr>
        <w:t xml:space="preserve">by the </w:t>
      </w:r>
      <w:r w:rsidR="001C7314" w:rsidRPr="00F53B74">
        <w:rPr>
          <w:rFonts w:cstheme="minorHAnsi"/>
          <w:bCs/>
          <w:sz w:val="20"/>
          <w:szCs w:val="20"/>
        </w:rPr>
        <w:t xml:space="preserve">two-week </w:t>
      </w:r>
      <w:r w:rsidRPr="00F53B74">
        <w:rPr>
          <w:rFonts w:cstheme="minorHAnsi"/>
          <w:bCs/>
          <w:sz w:val="20"/>
          <w:szCs w:val="20"/>
        </w:rPr>
        <w:t>deadline, charges will not be allocated to PDC</w:t>
      </w:r>
      <w:r w:rsidR="00A624C0" w:rsidRPr="00F53B74">
        <w:rPr>
          <w:rFonts w:cstheme="minorHAnsi"/>
          <w:bCs/>
          <w:sz w:val="20"/>
          <w:szCs w:val="20"/>
        </w:rPr>
        <w:t xml:space="preserve"> (for request types A and C above</w:t>
      </w:r>
      <w:proofErr w:type="gramStart"/>
      <w:r w:rsidR="00A624C0" w:rsidRPr="00F53B74">
        <w:rPr>
          <w:rFonts w:cstheme="minorHAnsi"/>
          <w:bCs/>
          <w:sz w:val="20"/>
          <w:szCs w:val="20"/>
        </w:rPr>
        <w:t>)</w:t>
      </w:r>
      <w:r w:rsidRPr="00F53B74">
        <w:rPr>
          <w:rFonts w:cstheme="minorHAnsi"/>
          <w:bCs/>
          <w:sz w:val="20"/>
          <w:szCs w:val="20"/>
        </w:rPr>
        <w:t>, and</w:t>
      </w:r>
      <w:proofErr w:type="gramEnd"/>
      <w:r w:rsidRPr="00F53B74">
        <w:rPr>
          <w:rFonts w:cstheme="minorHAnsi"/>
          <w:bCs/>
          <w:sz w:val="20"/>
          <w:szCs w:val="20"/>
        </w:rPr>
        <w:t xml:space="preserve"> will instead be allocated to the home department of the faculty member.</w:t>
      </w:r>
      <w:r w:rsidR="00C45F77" w:rsidRPr="00F53B74">
        <w:rPr>
          <w:rFonts w:cstheme="minorHAnsi"/>
          <w:bCs/>
          <w:sz w:val="20"/>
          <w:szCs w:val="20"/>
        </w:rPr>
        <w:t xml:space="preserve"> Failure to submit these items will result in ineligibility for future PDC support</w:t>
      </w:r>
      <w:r w:rsidR="0024065F" w:rsidRPr="00F53B74">
        <w:rPr>
          <w:rFonts w:cstheme="minorHAnsi"/>
          <w:bCs/>
          <w:sz w:val="20"/>
          <w:szCs w:val="20"/>
        </w:rPr>
        <w:t>.</w:t>
      </w:r>
    </w:p>
    <w:p w14:paraId="170BECE8" w14:textId="00A91218" w:rsidR="00697D0E" w:rsidRPr="00F53B74" w:rsidRDefault="00921863" w:rsidP="008B78E8">
      <w:pPr>
        <w:pStyle w:val="ListParagraph"/>
        <w:numPr>
          <w:ilvl w:val="0"/>
          <w:numId w:val="36"/>
        </w:numPr>
        <w:spacing w:after="0" w:line="240" w:lineRule="auto"/>
        <w:rPr>
          <w:rFonts w:cstheme="minorHAnsi"/>
          <w:sz w:val="20"/>
          <w:szCs w:val="20"/>
        </w:rPr>
      </w:pPr>
      <w:r w:rsidRPr="00F53B74">
        <w:rPr>
          <w:rFonts w:cstheme="minorHAnsi"/>
          <w:sz w:val="20"/>
          <w:szCs w:val="20"/>
        </w:rPr>
        <w:t>Expenses exceeding the amount awarded will become the responsibility of the grantee. Another funding source must be found</w:t>
      </w:r>
      <w:r w:rsidR="00122BAC" w:rsidRPr="00F53B74">
        <w:rPr>
          <w:rFonts w:cstheme="minorHAnsi"/>
          <w:sz w:val="20"/>
          <w:szCs w:val="20"/>
        </w:rPr>
        <w:t>,</w:t>
      </w:r>
      <w:r w:rsidRPr="00F53B74">
        <w:rPr>
          <w:rFonts w:cstheme="minorHAnsi"/>
          <w:sz w:val="20"/>
          <w:szCs w:val="20"/>
        </w:rPr>
        <w:t xml:space="preserve"> or the recipient must personally reimburse the college for any additional expenses incurred</w:t>
      </w:r>
      <w:r w:rsidR="0080078B" w:rsidRPr="00F53B74">
        <w:rPr>
          <w:rFonts w:cstheme="minorHAnsi"/>
          <w:sz w:val="20"/>
          <w:szCs w:val="20"/>
        </w:rPr>
        <w:t>.</w:t>
      </w:r>
    </w:p>
    <w:sectPr w:rsidR="00697D0E" w:rsidRPr="00F53B74" w:rsidSect="00EB5AFB">
      <w:headerReference w:type="default" r:id="rId15"/>
      <w:footerReference w:type="default" r:id="rId16"/>
      <w:pgSz w:w="12240" w:h="15840" w:code="1"/>
      <w:pgMar w:top="1008" w:right="990" w:bottom="1008" w:left="81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36C1" w14:textId="77777777" w:rsidR="00701912" w:rsidRDefault="00701912" w:rsidP="00CF6773">
      <w:pPr>
        <w:spacing w:after="0" w:line="240" w:lineRule="auto"/>
      </w:pPr>
      <w:r>
        <w:separator/>
      </w:r>
    </w:p>
  </w:endnote>
  <w:endnote w:type="continuationSeparator" w:id="0">
    <w:p w14:paraId="146E9687" w14:textId="77777777" w:rsidR="00701912" w:rsidRDefault="00701912" w:rsidP="00C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2954" w14:textId="4D207935" w:rsidR="00A06175" w:rsidRDefault="00A0617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A414B">
      <w:rPr>
        <w:caps/>
        <w:noProof/>
        <w:color w:val="5B9BD5" w:themeColor="accent1"/>
      </w:rPr>
      <w:t>4</w:t>
    </w:r>
    <w:r>
      <w:rPr>
        <w:caps/>
        <w:noProof/>
        <w:color w:val="5B9BD5" w:themeColor="accent1"/>
      </w:rPr>
      <w:fldChar w:fldCharType="end"/>
    </w:r>
  </w:p>
  <w:p w14:paraId="5FEF27E6" w14:textId="17964317" w:rsidR="00A06175" w:rsidRPr="00B35AF3" w:rsidRDefault="00B35AF3" w:rsidP="00B35AF3">
    <w:pPr>
      <w:pStyle w:val="Footer"/>
      <w:jc w:val="right"/>
      <w:rPr>
        <w:i/>
        <w:iCs/>
        <w:sz w:val="16"/>
        <w:szCs w:val="16"/>
      </w:rPr>
    </w:pPr>
    <w:r w:rsidRPr="00B35AF3">
      <w:rPr>
        <w:i/>
        <w:iCs/>
        <w:sz w:val="16"/>
        <w:szCs w:val="16"/>
      </w:rPr>
      <w:t>Upda</w:t>
    </w:r>
    <w:r w:rsidR="00466D96">
      <w:rPr>
        <w:i/>
        <w:iCs/>
        <w:sz w:val="16"/>
        <w:szCs w:val="16"/>
      </w:rPr>
      <w:t xml:space="preserve">ted </w:t>
    </w:r>
    <w:r w:rsidR="004132CA">
      <w:rPr>
        <w:i/>
        <w:iCs/>
        <w:sz w:val="16"/>
        <w:szCs w:val="16"/>
      </w:rPr>
      <w:t>January 25,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C9AD" w14:textId="77777777" w:rsidR="00701912" w:rsidRDefault="00701912" w:rsidP="00CF6773">
      <w:pPr>
        <w:spacing w:after="0" w:line="240" w:lineRule="auto"/>
      </w:pPr>
      <w:r>
        <w:separator/>
      </w:r>
    </w:p>
  </w:footnote>
  <w:footnote w:type="continuationSeparator" w:id="0">
    <w:p w14:paraId="08B0032E" w14:textId="77777777" w:rsidR="00701912" w:rsidRDefault="00701912" w:rsidP="00CF6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F018" w14:textId="27F867E2" w:rsidR="009A3C0E" w:rsidRPr="00B35AF3" w:rsidRDefault="007D4C6F" w:rsidP="00CF6773">
    <w:pPr>
      <w:pStyle w:val="Header"/>
      <w:jc w:val="center"/>
      <w:rPr>
        <w:b/>
        <w:sz w:val="36"/>
        <w:szCs w:val="36"/>
      </w:rPr>
    </w:pPr>
    <w:r>
      <w:rPr>
        <w:b/>
        <w:sz w:val="36"/>
        <w:szCs w:val="36"/>
      </w:rPr>
      <w:br/>
    </w:r>
    <w:r w:rsidR="00CF6773" w:rsidRPr="00B35AF3">
      <w:rPr>
        <w:b/>
        <w:sz w:val="36"/>
        <w:szCs w:val="36"/>
      </w:rPr>
      <w:t xml:space="preserve">Professional Development </w:t>
    </w:r>
    <w:r w:rsidR="00ED24CB">
      <w:rPr>
        <w:b/>
        <w:sz w:val="36"/>
        <w:szCs w:val="36"/>
      </w:rPr>
      <w:t>Funding</w:t>
    </w:r>
    <w:r w:rsidR="00CF6773" w:rsidRPr="00B35AF3">
      <w:rPr>
        <w:b/>
        <w:sz w:val="36"/>
        <w:szCs w:val="36"/>
      </w:rPr>
      <w:t xml:space="preserve"> </w:t>
    </w:r>
    <w:r w:rsidR="00FF08A3">
      <w:rPr>
        <w:b/>
        <w:sz w:val="36"/>
        <w:szCs w:val="36"/>
      </w:rPr>
      <w:t>Guidelines</w:t>
    </w:r>
  </w:p>
  <w:p w14:paraId="66E7177F" w14:textId="77777777" w:rsidR="007D54E5" w:rsidRPr="009A3C0E" w:rsidRDefault="007D54E5" w:rsidP="00997AFB">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E71"/>
    <w:multiLevelType w:val="hybridMultilevel"/>
    <w:tmpl w:val="71449EE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04125"/>
    <w:multiLevelType w:val="hybridMultilevel"/>
    <w:tmpl w:val="549656FC"/>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10A412B6"/>
    <w:multiLevelType w:val="hybridMultilevel"/>
    <w:tmpl w:val="098C939A"/>
    <w:lvl w:ilvl="0" w:tplc="EC2AA570">
      <w:start w:val="1"/>
      <w:numFmt w:val="upperLetter"/>
      <w:lvlText w:val="%1."/>
      <w:lvlJc w:val="left"/>
      <w:pPr>
        <w:ind w:left="360" w:hanging="360"/>
      </w:pPr>
      <w:rPr>
        <w:rFonts w:cstheme="minorBidi" w:hint="default"/>
        <w:b/>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07DB4"/>
    <w:multiLevelType w:val="hybridMultilevel"/>
    <w:tmpl w:val="0ADE41DE"/>
    <w:lvl w:ilvl="0" w:tplc="3104EAF0">
      <w:start w:val="1"/>
      <w:numFmt w:val="upperLetter"/>
      <w:lvlText w:val="%1."/>
      <w:lvlJc w:val="left"/>
      <w:pPr>
        <w:ind w:left="720" w:hanging="360"/>
      </w:pPr>
      <w:rPr>
        <w:rFonts w:asciiTheme="minorHAnsi" w:eastAsiaTheme="majorEastAsia" w:hAnsiTheme="minorHAnsi" w:cstheme="minorHAnsi"/>
        <w:b/>
        <w:color w:val="000000" w:themeColor="text1"/>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6405C"/>
    <w:multiLevelType w:val="hybridMultilevel"/>
    <w:tmpl w:val="2DBE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D51F5"/>
    <w:multiLevelType w:val="hybridMultilevel"/>
    <w:tmpl w:val="C10C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00E5E"/>
    <w:multiLevelType w:val="hybridMultilevel"/>
    <w:tmpl w:val="14464A1A"/>
    <w:lvl w:ilvl="0" w:tplc="224292FA">
      <w:start w:val="1"/>
      <w:numFmt w:val="lowerLetter"/>
      <w:lvlText w:val="%1."/>
      <w:lvlJc w:val="left"/>
      <w:pPr>
        <w:ind w:left="990" w:hanging="360"/>
      </w:pPr>
      <w:rPr>
        <w:rFonts w:eastAsiaTheme="majorEastAsia" w:hint="default"/>
        <w:b/>
        <w:color w:val="000000" w:themeColor="text1"/>
        <w:sz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F751149"/>
    <w:multiLevelType w:val="hybridMultilevel"/>
    <w:tmpl w:val="E446F56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5">
      <w:start w:val="1"/>
      <w:numFmt w:val="upp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32C025C"/>
    <w:multiLevelType w:val="hybridMultilevel"/>
    <w:tmpl w:val="DA58F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C6BF8"/>
    <w:multiLevelType w:val="hybridMultilevel"/>
    <w:tmpl w:val="A3D2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759A8"/>
    <w:multiLevelType w:val="hybridMultilevel"/>
    <w:tmpl w:val="E51868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FD0A1F"/>
    <w:multiLevelType w:val="hybridMultilevel"/>
    <w:tmpl w:val="4E9AF940"/>
    <w:lvl w:ilvl="0" w:tplc="05DAE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E02B20"/>
    <w:multiLevelType w:val="hybridMultilevel"/>
    <w:tmpl w:val="315AC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35BCD"/>
    <w:multiLevelType w:val="hybridMultilevel"/>
    <w:tmpl w:val="75B65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50588"/>
    <w:multiLevelType w:val="hybridMultilevel"/>
    <w:tmpl w:val="425C457E"/>
    <w:lvl w:ilvl="0" w:tplc="D720A0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148282F"/>
    <w:multiLevelType w:val="hybridMultilevel"/>
    <w:tmpl w:val="666E0012"/>
    <w:lvl w:ilvl="0" w:tplc="F124928A">
      <w:start w:val="1"/>
      <w:numFmt w:val="upperLetter"/>
      <w:lvlText w:val="%1."/>
      <w:lvlJc w:val="left"/>
      <w:pPr>
        <w:ind w:left="630" w:hanging="360"/>
      </w:pPr>
      <w:rPr>
        <w:rFonts w:eastAsiaTheme="majorEastAsia" w:hint="default"/>
        <w:b/>
        <w:color w:val="000000" w:themeColor="text1"/>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2142901"/>
    <w:multiLevelType w:val="hybridMultilevel"/>
    <w:tmpl w:val="4338168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7BD56FC"/>
    <w:multiLevelType w:val="hybridMultilevel"/>
    <w:tmpl w:val="8CEE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B436F"/>
    <w:multiLevelType w:val="hybridMultilevel"/>
    <w:tmpl w:val="54387C7C"/>
    <w:lvl w:ilvl="0" w:tplc="83A017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C5576"/>
    <w:multiLevelType w:val="hybridMultilevel"/>
    <w:tmpl w:val="B23086DA"/>
    <w:lvl w:ilvl="0" w:tplc="FB9AED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55C7B88"/>
    <w:multiLevelType w:val="hybridMultilevel"/>
    <w:tmpl w:val="E41C8670"/>
    <w:lvl w:ilvl="0" w:tplc="A096254E">
      <w:start w:val="2"/>
      <w:numFmt w:val="upperLetter"/>
      <w:lvlText w:val="%1."/>
      <w:lvlJc w:val="left"/>
      <w:pPr>
        <w:ind w:left="720" w:hanging="360"/>
      </w:pPr>
      <w:rPr>
        <w:rFonts w:eastAsiaTheme="majorEastAsia" w:hint="default"/>
        <w:b/>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C0C64"/>
    <w:multiLevelType w:val="hybridMultilevel"/>
    <w:tmpl w:val="1DD01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D0907"/>
    <w:multiLevelType w:val="hybridMultilevel"/>
    <w:tmpl w:val="27E4E1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892AB4"/>
    <w:multiLevelType w:val="hybridMultilevel"/>
    <w:tmpl w:val="0B2E3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704F69"/>
    <w:multiLevelType w:val="hybridMultilevel"/>
    <w:tmpl w:val="D3D2DF14"/>
    <w:lvl w:ilvl="0" w:tplc="04090017">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5" w15:restartNumberingAfterBreak="0">
    <w:nsid w:val="634A4B1E"/>
    <w:multiLevelType w:val="hybridMultilevel"/>
    <w:tmpl w:val="1B1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B51"/>
    <w:multiLevelType w:val="hybridMultilevel"/>
    <w:tmpl w:val="46767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03DC5"/>
    <w:multiLevelType w:val="hybridMultilevel"/>
    <w:tmpl w:val="BE4C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C009E"/>
    <w:multiLevelType w:val="hybridMultilevel"/>
    <w:tmpl w:val="98BE5D68"/>
    <w:lvl w:ilvl="0" w:tplc="D9CC094A">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B131AD"/>
    <w:multiLevelType w:val="hybridMultilevel"/>
    <w:tmpl w:val="DB0E32E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74AF3233"/>
    <w:multiLevelType w:val="hybridMultilevel"/>
    <w:tmpl w:val="632644B6"/>
    <w:lvl w:ilvl="0" w:tplc="FB9AED64">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67D6AFD"/>
    <w:multiLevelType w:val="hybridMultilevel"/>
    <w:tmpl w:val="DB587C3A"/>
    <w:lvl w:ilvl="0" w:tplc="4708947C">
      <w:start w:val="10"/>
      <w:numFmt w:val="upperLetter"/>
      <w:lvlText w:val="%1."/>
      <w:lvlJc w:val="left"/>
      <w:pPr>
        <w:ind w:left="720" w:hanging="360"/>
      </w:pPr>
      <w:rPr>
        <w:rFonts w:cstheme="minorBidi" w:hint="default"/>
        <w:b/>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74966"/>
    <w:multiLevelType w:val="hybridMultilevel"/>
    <w:tmpl w:val="18A261AA"/>
    <w:lvl w:ilvl="0" w:tplc="121634B0">
      <w:start w:val="1"/>
      <w:numFmt w:val="bullet"/>
      <w:lvlText w:val="•"/>
      <w:lvlJc w:val="left"/>
      <w:pPr>
        <w:tabs>
          <w:tab w:val="num" w:pos="720"/>
        </w:tabs>
        <w:ind w:left="720" w:hanging="360"/>
      </w:pPr>
      <w:rPr>
        <w:rFonts w:ascii="Arial" w:hAnsi="Arial" w:hint="default"/>
      </w:rPr>
    </w:lvl>
    <w:lvl w:ilvl="1" w:tplc="CD0A6FDE" w:tentative="1">
      <w:start w:val="1"/>
      <w:numFmt w:val="bullet"/>
      <w:lvlText w:val="•"/>
      <w:lvlJc w:val="left"/>
      <w:pPr>
        <w:tabs>
          <w:tab w:val="num" w:pos="1440"/>
        </w:tabs>
        <w:ind w:left="1440" w:hanging="360"/>
      </w:pPr>
      <w:rPr>
        <w:rFonts w:ascii="Arial" w:hAnsi="Arial" w:hint="default"/>
      </w:rPr>
    </w:lvl>
    <w:lvl w:ilvl="2" w:tplc="016871FA" w:tentative="1">
      <w:start w:val="1"/>
      <w:numFmt w:val="bullet"/>
      <w:lvlText w:val="•"/>
      <w:lvlJc w:val="left"/>
      <w:pPr>
        <w:tabs>
          <w:tab w:val="num" w:pos="2160"/>
        </w:tabs>
        <w:ind w:left="2160" w:hanging="360"/>
      </w:pPr>
      <w:rPr>
        <w:rFonts w:ascii="Arial" w:hAnsi="Arial" w:hint="default"/>
      </w:rPr>
    </w:lvl>
    <w:lvl w:ilvl="3" w:tplc="01D814B0" w:tentative="1">
      <w:start w:val="1"/>
      <w:numFmt w:val="bullet"/>
      <w:lvlText w:val="•"/>
      <w:lvlJc w:val="left"/>
      <w:pPr>
        <w:tabs>
          <w:tab w:val="num" w:pos="2880"/>
        </w:tabs>
        <w:ind w:left="2880" w:hanging="360"/>
      </w:pPr>
      <w:rPr>
        <w:rFonts w:ascii="Arial" w:hAnsi="Arial" w:hint="default"/>
      </w:rPr>
    </w:lvl>
    <w:lvl w:ilvl="4" w:tplc="F54026B6" w:tentative="1">
      <w:start w:val="1"/>
      <w:numFmt w:val="bullet"/>
      <w:lvlText w:val="•"/>
      <w:lvlJc w:val="left"/>
      <w:pPr>
        <w:tabs>
          <w:tab w:val="num" w:pos="3600"/>
        </w:tabs>
        <w:ind w:left="3600" w:hanging="360"/>
      </w:pPr>
      <w:rPr>
        <w:rFonts w:ascii="Arial" w:hAnsi="Arial" w:hint="default"/>
      </w:rPr>
    </w:lvl>
    <w:lvl w:ilvl="5" w:tplc="55FC2000" w:tentative="1">
      <w:start w:val="1"/>
      <w:numFmt w:val="bullet"/>
      <w:lvlText w:val="•"/>
      <w:lvlJc w:val="left"/>
      <w:pPr>
        <w:tabs>
          <w:tab w:val="num" w:pos="4320"/>
        </w:tabs>
        <w:ind w:left="4320" w:hanging="360"/>
      </w:pPr>
      <w:rPr>
        <w:rFonts w:ascii="Arial" w:hAnsi="Arial" w:hint="default"/>
      </w:rPr>
    </w:lvl>
    <w:lvl w:ilvl="6" w:tplc="1F460472" w:tentative="1">
      <w:start w:val="1"/>
      <w:numFmt w:val="bullet"/>
      <w:lvlText w:val="•"/>
      <w:lvlJc w:val="left"/>
      <w:pPr>
        <w:tabs>
          <w:tab w:val="num" w:pos="5040"/>
        </w:tabs>
        <w:ind w:left="5040" w:hanging="360"/>
      </w:pPr>
      <w:rPr>
        <w:rFonts w:ascii="Arial" w:hAnsi="Arial" w:hint="default"/>
      </w:rPr>
    </w:lvl>
    <w:lvl w:ilvl="7" w:tplc="EFAADB9E" w:tentative="1">
      <w:start w:val="1"/>
      <w:numFmt w:val="bullet"/>
      <w:lvlText w:val="•"/>
      <w:lvlJc w:val="left"/>
      <w:pPr>
        <w:tabs>
          <w:tab w:val="num" w:pos="5760"/>
        </w:tabs>
        <w:ind w:left="5760" w:hanging="360"/>
      </w:pPr>
      <w:rPr>
        <w:rFonts w:ascii="Arial" w:hAnsi="Arial" w:hint="default"/>
      </w:rPr>
    </w:lvl>
    <w:lvl w:ilvl="8" w:tplc="C396E54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CA2907"/>
    <w:multiLevelType w:val="hybridMultilevel"/>
    <w:tmpl w:val="380C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B1275"/>
    <w:multiLevelType w:val="hybridMultilevel"/>
    <w:tmpl w:val="0BC757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6089881">
    <w:abstractNumId w:val="4"/>
  </w:num>
  <w:num w:numId="2" w16cid:durableId="1949965594">
    <w:abstractNumId w:val="29"/>
  </w:num>
  <w:num w:numId="3" w16cid:durableId="1044645705">
    <w:abstractNumId w:val="12"/>
  </w:num>
  <w:num w:numId="4" w16cid:durableId="764880734">
    <w:abstractNumId w:val="26"/>
  </w:num>
  <w:num w:numId="5" w16cid:durableId="409696021">
    <w:abstractNumId w:val="25"/>
  </w:num>
  <w:num w:numId="6" w16cid:durableId="1624725186">
    <w:abstractNumId w:val="27"/>
  </w:num>
  <w:num w:numId="7" w16cid:durableId="1806775615">
    <w:abstractNumId w:val="33"/>
  </w:num>
  <w:num w:numId="8" w16cid:durableId="308825575">
    <w:abstractNumId w:val="4"/>
  </w:num>
  <w:num w:numId="9" w16cid:durableId="1087995480">
    <w:abstractNumId w:val="8"/>
  </w:num>
  <w:num w:numId="10" w16cid:durableId="1456219970">
    <w:abstractNumId w:val="1"/>
  </w:num>
  <w:num w:numId="11" w16cid:durableId="1383165542">
    <w:abstractNumId w:val="34"/>
  </w:num>
  <w:num w:numId="12" w16cid:durableId="574630406">
    <w:abstractNumId w:val="16"/>
  </w:num>
  <w:num w:numId="13" w16cid:durableId="325131181">
    <w:abstractNumId w:val="32"/>
  </w:num>
  <w:num w:numId="14" w16cid:durableId="1456751067">
    <w:abstractNumId w:val="17"/>
  </w:num>
  <w:num w:numId="15" w16cid:durableId="1389844885">
    <w:abstractNumId w:val="20"/>
  </w:num>
  <w:num w:numId="16" w16cid:durableId="572394952">
    <w:abstractNumId w:val="14"/>
  </w:num>
  <w:num w:numId="17" w16cid:durableId="99953380">
    <w:abstractNumId w:val="13"/>
  </w:num>
  <w:num w:numId="18" w16cid:durableId="674309465">
    <w:abstractNumId w:val="15"/>
  </w:num>
  <w:num w:numId="19" w16cid:durableId="837230850">
    <w:abstractNumId w:val="6"/>
  </w:num>
  <w:num w:numId="20" w16cid:durableId="275529569">
    <w:abstractNumId w:val="3"/>
  </w:num>
  <w:num w:numId="21" w16cid:durableId="2061594501">
    <w:abstractNumId w:val="11"/>
  </w:num>
  <w:num w:numId="22" w16cid:durableId="700320847">
    <w:abstractNumId w:val="24"/>
  </w:num>
  <w:num w:numId="23" w16cid:durableId="455561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6405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4983465">
    <w:abstractNumId w:val="10"/>
  </w:num>
  <w:num w:numId="26" w16cid:durableId="1167987335">
    <w:abstractNumId w:val="7"/>
  </w:num>
  <w:num w:numId="27" w16cid:durableId="1420060726">
    <w:abstractNumId w:val="0"/>
  </w:num>
  <w:num w:numId="28" w16cid:durableId="1002314147">
    <w:abstractNumId w:val="2"/>
  </w:num>
  <w:num w:numId="29" w16cid:durableId="1618636095">
    <w:abstractNumId w:val="21"/>
  </w:num>
  <w:num w:numId="30" w16cid:durableId="202450515">
    <w:abstractNumId w:val="28"/>
  </w:num>
  <w:num w:numId="31" w16cid:durableId="1205100943">
    <w:abstractNumId w:val="31"/>
  </w:num>
  <w:num w:numId="32" w16cid:durableId="592588289">
    <w:abstractNumId w:val="22"/>
  </w:num>
  <w:num w:numId="33" w16cid:durableId="1857882977">
    <w:abstractNumId w:val="9"/>
  </w:num>
  <w:num w:numId="34" w16cid:durableId="227494641">
    <w:abstractNumId w:val="18"/>
  </w:num>
  <w:num w:numId="35" w16cid:durableId="1551304197">
    <w:abstractNumId w:val="5"/>
  </w:num>
  <w:num w:numId="36" w16cid:durableId="1253588214">
    <w:abstractNumId w:val="23"/>
  </w:num>
  <w:num w:numId="37" w16cid:durableId="9910558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312920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7A"/>
    <w:rsid w:val="0000274A"/>
    <w:rsid w:val="000030DC"/>
    <w:rsid w:val="00012715"/>
    <w:rsid w:val="000131AC"/>
    <w:rsid w:val="00015A3B"/>
    <w:rsid w:val="000163C5"/>
    <w:rsid w:val="0001662D"/>
    <w:rsid w:val="000248C5"/>
    <w:rsid w:val="00033BBE"/>
    <w:rsid w:val="00037C59"/>
    <w:rsid w:val="00040DD5"/>
    <w:rsid w:val="00050323"/>
    <w:rsid w:val="00050759"/>
    <w:rsid w:val="00052110"/>
    <w:rsid w:val="00052F86"/>
    <w:rsid w:val="00053B94"/>
    <w:rsid w:val="000570EF"/>
    <w:rsid w:val="00061991"/>
    <w:rsid w:val="0006230D"/>
    <w:rsid w:val="00063FBE"/>
    <w:rsid w:val="00067222"/>
    <w:rsid w:val="00067B0A"/>
    <w:rsid w:val="00072C52"/>
    <w:rsid w:val="00075A0F"/>
    <w:rsid w:val="00081D83"/>
    <w:rsid w:val="00096BB6"/>
    <w:rsid w:val="00097334"/>
    <w:rsid w:val="00097D7F"/>
    <w:rsid w:val="000A5395"/>
    <w:rsid w:val="000A59E2"/>
    <w:rsid w:val="000D4118"/>
    <w:rsid w:val="000D5454"/>
    <w:rsid w:val="000D5950"/>
    <w:rsid w:val="000E372F"/>
    <w:rsid w:val="000E4307"/>
    <w:rsid w:val="000F2781"/>
    <w:rsid w:val="000F35D4"/>
    <w:rsid w:val="001002F5"/>
    <w:rsid w:val="00107CCB"/>
    <w:rsid w:val="00111AA8"/>
    <w:rsid w:val="00116936"/>
    <w:rsid w:val="00122575"/>
    <w:rsid w:val="00122BAC"/>
    <w:rsid w:val="001351F0"/>
    <w:rsid w:val="00135B6B"/>
    <w:rsid w:val="00136984"/>
    <w:rsid w:val="00143867"/>
    <w:rsid w:val="001441BF"/>
    <w:rsid w:val="00145C34"/>
    <w:rsid w:val="00151C2C"/>
    <w:rsid w:val="0015364D"/>
    <w:rsid w:val="00154B63"/>
    <w:rsid w:val="00160A7B"/>
    <w:rsid w:val="00166E99"/>
    <w:rsid w:val="00172896"/>
    <w:rsid w:val="00174721"/>
    <w:rsid w:val="00182D9A"/>
    <w:rsid w:val="00185CA7"/>
    <w:rsid w:val="00192B73"/>
    <w:rsid w:val="001B5FAB"/>
    <w:rsid w:val="001C3EF6"/>
    <w:rsid w:val="001C4BE8"/>
    <w:rsid w:val="001C7314"/>
    <w:rsid w:val="001D071D"/>
    <w:rsid w:val="001D14BD"/>
    <w:rsid w:val="001D4925"/>
    <w:rsid w:val="001E6679"/>
    <w:rsid w:val="001F252A"/>
    <w:rsid w:val="00200998"/>
    <w:rsid w:val="00201FD7"/>
    <w:rsid w:val="00205A5A"/>
    <w:rsid w:val="002104B5"/>
    <w:rsid w:val="00213406"/>
    <w:rsid w:val="00222DED"/>
    <w:rsid w:val="00230020"/>
    <w:rsid w:val="00232BCF"/>
    <w:rsid w:val="0024065F"/>
    <w:rsid w:val="00240814"/>
    <w:rsid w:val="00242558"/>
    <w:rsid w:val="00251233"/>
    <w:rsid w:val="00255B88"/>
    <w:rsid w:val="00267AF8"/>
    <w:rsid w:val="00270B3F"/>
    <w:rsid w:val="00270C01"/>
    <w:rsid w:val="002878B7"/>
    <w:rsid w:val="00291A6F"/>
    <w:rsid w:val="0029516B"/>
    <w:rsid w:val="00295BCC"/>
    <w:rsid w:val="002A0905"/>
    <w:rsid w:val="002A5C52"/>
    <w:rsid w:val="002A7ECD"/>
    <w:rsid w:val="002B23D8"/>
    <w:rsid w:val="002B714C"/>
    <w:rsid w:val="002D6E3A"/>
    <w:rsid w:val="002F118E"/>
    <w:rsid w:val="00305B29"/>
    <w:rsid w:val="00313A8B"/>
    <w:rsid w:val="003204DC"/>
    <w:rsid w:val="00320559"/>
    <w:rsid w:val="003247AA"/>
    <w:rsid w:val="00331F9F"/>
    <w:rsid w:val="00336314"/>
    <w:rsid w:val="00341876"/>
    <w:rsid w:val="0034225B"/>
    <w:rsid w:val="00342BA7"/>
    <w:rsid w:val="00356530"/>
    <w:rsid w:val="003711F0"/>
    <w:rsid w:val="00375C3D"/>
    <w:rsid w:val="003816FE"/>
    <w:rsid w:val="003A01B1"/>
    <w:rsid w:val="003A4FD1"/>
    <w:rsid w:val="003A517F"/>
    <w:rsid w:val="003B6B8B"/>
    <w:rsid w:val="003C033A"/>
    <w:rsid w:val="003C0483"/>
    <w:rsid w:val="003C2341"/>
    <w:rsid w:val="003C556E"/>
    <w:rsid w:val="003D1876"/>
    <w:rsid w:val="003E3C65"/>
    <w:rsid w:val="003E7E8F"/>
    <w:rsid w:val="003F5537"/>
    <w:rsid w:val="003F61B0"/>
    <w:rsid w:val="003F6B40"/>
    <w:rsid w:val="004132CA"/>
    <w:rsid w:val="00415566"/>
    <w:rsid w:val="004179A4"/>
    <w:rsid w:val="004203B3"/>
    <w:rsid w:val="004214ED"/>
    <w:rsid w:val="00427611"/>
    <w:rsid w:val="00427B7C"/>
    <w:rsid w:val="00430F52"/>
    <w:rsid w:val="004368B6"/>
    <w:rsid w:val="0044564F"/>
    <w:rsid w:val="00446AD4"/>
    <w:rsid w:val="0044782F"/>
    <w:rsid w:val="00455E49"/>
    <w:rsid w:val="00457AF9"/>
    <w:rsid w:val="00457D89"/>
    <w:rsid w:val="004648B4"/>
    <w:rsid w:val="00466D96"/>
    <w:rsid w:val="00466F1D"/>
    <w:rsid w:val="0047058E"/>
    <w:rsid w:val="00481E29"/>
    <w:rsid w:val="00486400"/>
    <w:rsid w:val="004957FC"/>
    <w:rsid w:val="004A1D1D"/>
    <w:rsid w:val="004A3049"/>
    <w:rsid w:val="004A5385"/>
    <w:rsid w:val="004B08DA"/>
    <w:rsid w:val="004B186F"/>
    <w:rsid w:val="004B4951"/>
    <w:rsid w:val="004B4AA2"/>
    <w:rsid w:val="004C33DE"/>
    <w:rsid w:val="004C4202"/>
    <w:rsid w:val="004D60C6"/>
    <w:rsid w:val="004D7335"/>
    <w:rsid w:val="004E1DA5"/>
    <w:rsid w:val="004E6A0E"/>
    <w:rsid w:val="004F6BBB"/>
    <w:rsid w:val="00501B29"/>
    <w:rsid w:val="00506989"/>
    <w:rsid w:val="005119BA"/>
    <w:rsid w:val="00511F4C"/>
    <w:rsid w:val="00512EF1"/>
    <w:rsid w:val="005146A9"/>
    <w:rsid w:val="005173E3"/>
    <w:rsid w:val="005207F3"/>
    <w:rsid w:val="0052119E"/>
    <w:rsid w:val="005302B0"/>
    <w:rsid w:val="005311B1"/>
    <w:rsid w:val="005435DD"/>
    <w:rsid w:val="00545347"/>
    <w:rsid w:val="005504AF"/>
    <w:rsid w:val="005535FC"/>
    <w:rsid w:val="00556604"/>
    <w:rsid w:val="00557BC5"/>
    <w:rsid w:val="005600C3"/>
    <w:rsid w:val="005609DE"/>
    <w:rsid w:val="00563692"/>
    <w:rsid w:val="00566464"/>
    <w:rsid w:val="005664C2"/>
    <w:rsid w:val="00572DE0"/>
    <w:rsid w:val="0057536F"/>
    <w:rsid w:val="00576317"/>
    <w:rsid w:val="00591547"/>
    <w:rsid w:val="00593F75"/>
    <w:rsid w:val="00595F88"/>
    <w:rsid w:val="005B0E06"/>
    <w:rsid w:val="005C0FB1"/>
    <w:rsid w:val="005C11D8"/>
    <w:rsid w:val="005D4586"/>
    <w:rsid w:val="005D562F"/>
    <w:rsid w:val="005E4D54"/>
    <w:rsid w:val="005E5B16"/>
    <w:rsid w:val="005F13D9"/>
    <w:rsid w:val="005F23AB"/>
    <w:rsid w:val="005F72EB"/>
    <w:rsid w:val="00611BE0"/>
    <w:rsid w:val="006142FC"/>
    <w:rsid w:val="00614BAF"/>
    <w:rsid w:val="00617A8A"/>
    <w:rsid w:val="00622A71"/>
    <w:rsid w:val="00627556"/>
    <w:rsid w:val="00632867"/>
    <w:rsid w:val="00640D45"/>
    <w:rsid w:val="0064501C"/>
    <w:rsid w:val="00645504"/>
    <w:rsid w:val="00646F7F"/>
    <w:rsid w:val="00651AB1"/>
    <w:rsid w:val="00656716"/>
    <w:rsid w:val="00667B99"/>
    <w:rsid w:val="00676230"/>
    <w:rsid w:val="00683011"/>
    <w:rsid w:val="00686EF2"/>
    <w:rsid w:val="00691B32"/>
    <w:rsid w:val="00693977"/>
    <w:rsid w:val="00693B94"/>
    <w:rsid w:val="0069667A"/>
    <w:rsid w:val="00696B35"/>
    <w:rsid w:val="00697D0E"/>
    <w:rsid w:val="006A7626"/>
    <w:rsid w:val="006C7A46"/>
    <w:rsid w:val="006D34BF"/>
    <w:rsid w:val="006D5A28"/>
    <w:rsid w:val="006E0180"/>
    <w:rsid w:val="006E6027"/>
    <w:rsid w:val="006F3472"/>
    <w:rsid w:val="00701912"/>
    <w:rsid w:val="00702DB8"/>
    <w:rsid w:val="00705DE5"/>
    <w:rsid w:val="007115ED"/>
    <w:rsid w:val="00713221"/>
    <w:rsid w:val="0071334F"/>
    <w:rsid w:val="00716254"/>
    <w:rsid w:val="00727E4D"/>
    <w:rsid w:val="007334D2"/>
    <w:rsid w:val="00734F3E"/>
    <w:rsid w:val="00737674"/>
    <w:rsid w:val="00742A18"/>
    <w:rsid w:val="0074356E"/>
    <w:rsid w:val="0074386D"/>
    <w:rsid w:val="007507DB"/>
    <w:rsid w:val="00755FFC"/>
    <w:rsid w:val="00761CB5"/>
    <w:rsid w:val="00777344"/>
    <w:rsid w:val="00781B26"/>
    <w:rsid w:val="007A0456"/>
    <w:rsid w:val="007D4C6F"/>
    <w:rsid w:val="007D54E5"/>
    <w:rsid w:val="007E598C"/>
    <w:rsid w:val="007E6C6E"/>
    <w:rsid w:val="007F16D6"/>
    <w:rsid w:val="007F4B90"/>
    <w:rsid w:val="007F6FC0"/>
    <w:rsid w:val="0080078B"/>
    <w:rsid w:val="0080615F"/>
    <w:rsid w:val="00810215"/>
    <w:rsid w:val="00813471"/>
    <w:rsid w:val="00814574"/>
    <w:rsid w:val="008161BF"/>
    <w:rsid w:val="00816961"/>
    <w:rsid w:val="00816F73"/>
    <w:rsid w:val="0081741D"/>
    <w:rsid w:val="0082460D"/>
    <w:rsid w:val="008246A8"/>
    <w:rsid w:val="00824FD9"/>
    <w:rsid w:val="00825A95"/>
    <w:rsid w:val="00826F03"/>
    <w:rsid w:val="00827184"/>
    <w:rsid w:val="00831BC3"/>
    <w:rsid w:val="00832F87"/>
    <w:rsid w:val="008334FC"/>
    <w:rsid w:val="00833A04"/>
    <w:rsid w:val="0083527A"/>
    <w:rsid w:val="008354C6"/>
    <w:rsid w:val="008368B6"/>
    <w:rsid w:val="00836CEA"/>
    <w:rsid w:val="0083779E"/>
    <w:rsid w:val="0084412D"/>
    <w:rsid w:val="00855AF0"/>
    <w:rsid w:val="00857BD4"/>
    <w:rsid w:val="008641B4"/>
    <w:rsid w:val="00875920"/>
    <w:rsid w:val="008811A6"/>
    <w:rsid w:val="008816C0"/>
    <w:rsid w:val="00885004"/>
    <w:rsid w:val="00892701"/>
    <w:rsid w:val="00892B8E"/>
    <w:rsid w:val="00894E59"/>
    <w:rsid w:val="008A077C"/>
    <w:rsid w:val="008A1784"/>
    <w:rsid w:val="008B2762"/>
    <w:rsid w:val="008B364F"/>
    <w:rsid w:val="008B78E8"/>
    <w:rsid w:val="008C1CB8"/>
    <w:rsid w:val="008C398A"/>
    <w:rsid w:val="008C48DA"/>
    <w:rsid w:val="008C5523"/>
    <w:rsid w:val="008D05CC"/>
    <w:rsid w:val="008D5912"/>
    <w:rsid w:val="008E3E51"/>
    <w:rsid w:val="008F70B7"/>
    <w:rsid w:val="009025AB"/>
    <w:rsid w:val="00902D49"/>
    <w:rsid w:val="0090326E"/>
    <w:rsid w:val="009050EF"/>
    <w:rsid w:val="009078C9"/>
    <w:rsid w:val="00911691"/>
    <w:rsid w:val="00921333"/>
    <w:rsid w:val="00921863"/>
    <w:rsid w:val="0092257A"/>
    <w:rsid w:val="0092376F"/>
    <w:rsid w:val="00925603"/>
    <w:rsid w:val="0093098A"/>
    <w:rsid w:val="00930D44"/>
    <w:rsid w:val="00940A32"/>
    <w:rsid w:val="009603A6"/>
    <w:rsid w:val="009636E2"/>
    <w:rsid w:val="009677AE"/>
    <w:rsid w:val="00970571"/>
    <w:rsid w:val="0098487F"/>
    <w:rsid w:val="00984ABE"/>
    <w:rsid w:val="0099005E"/>
    <w:rsid w:val="009927B9"/>
    <w:rsid w:val="00994CF7"/>
    <w:rsid w:val="00996589"/>
    <w:rsid w:val="00997AFB"/>
    <w:rsid w:val="00997BD4"/>
    <w:rsid w:val="009A3C0E"/>
    <w:rsid w:val="009A3C49"/>
    <w:rsid w:val="009C0E7C"/>
    <w:rsid w:val="009D2B11"/>
    <w:rsid w:val="009E10E0"/>
    <w:rsid w:val="009F4304"/>
    <w:rsid w:val="009F4421"/>
    <w:rsid w:val="009F4E00"/>
    <w:rsid w:val="00A022A7"/>
    <w:rsid w:val="00A028EE"/>
    <w:rsid w:val="00A02A28"/>
    <w:rsid w:val="00A03236"/>
    <w:rsid w:val="00A03D01"/>
    <w:rsid w:val="00A05BB7"/>
    <w:rsid w:val="00A06175"/>
    <w:rsid w:val="00A102EE"/>
    <w:rsid w:val="00A10672"/>
    <w:rsid w:val="00A10D60"/>
    <w:rsid w:val="00A13F4D"/>
    <w:rsid w:val="00A22DDD"/>
    <w:rsid w:val="00A27F91"/>
    <w:rsid w:val="00A32136"/>
    <w:rsid w:val="00A41CF8"/>
    <w:rsid w:val="00A43450"/>
    <w:rsid w:val="00A50496"/>
    <w:rsid w:val="00A5103D"/>
    <w:rsid w:val="00A528A7"/>
    <w:rsid w:val="00A53974"/>
    <w:rsid w:val="00A55803"/>
    <w:rsid w:val="00A577F0"/>
    <w:rsid w:val="00A624C0"/>
    <w:rsid w:val="00A62532"/>
    <w:rsid w:val="00A978F2"/>
    <w:rsid w:val="00AA2407"/>
    <w:rsid w:val="00AB3B0B"/>
    <w:rsid w:val="00AC6C0F"/>
    <w:rsid w:val="00AC6DCC"/>
    <w:rsid w:val="00AD4760"/>
    <w:rsid w:val="00AD4A9A"/>
    <w:rsid w:val="00AE3553"/>
    <w:rsid w:val="00AE4A93"/>
    <w:rsid w:val="00B16AB2"/>
    <w:rsid w:val="00B17D91"/>
    <w:rsid w:val="00B17F60"/>
    <w:rsid w:val="00B20FEE"/>
    <w:rsid w:val="00B35AF3"/>
    <w:rsid w:val="00B42D25"/>
    <w:rsid w:val="00B44A8C"/>
    <w:rsid w:val="00B45D87"/>
    <w:rsid w:val="00B45DF1"/>
    <w:rsid w:val="00B51729"/>
    <w:rsid w:val="00B53137"/>
    <w:rsid w:val="00B62257"/>
    <w:rsid w:val="00B67635"/>
    <w:rsid w:val="00B715C7"/>
    <w:rsid w:val="00B71D45"/>
    <w:rsid w:val="00B729AD"/>
    <w:rsid w:val="00B72D77"/>
    <w:rsid w:val="00B75A23"/>
    <w:rsid w:val="00B81027"/>
    <w:rsid w:val="00B90FAD"/>
    <w:rsid w:val="00B955D1"/>
    <w:rsid w:val="00B96BE1"/>
    <w:rsid w:val="00BA14E9"/>
    <w:rsid w:val="00BA1B4F"/>
    <w:rsid w:val="00BA39F7"/>
    <w:rsid w:val="00BA5D3F"/>
    <w:rsid w:val="00BA6ED4"/>
    <w:rsid w:val="00BA7474"/>
    <w:rsid w:val="00BA7DB3"/>
    <w:rsid w:val="00BB0E7F"/>
    <w:rsid w:val="00BB1C54"/>
    <w:rsid w:val="00BB5C66"/>
    <w:rsid w:val="00BC1F21"/>
    <w:rsid w:val="00BD42E6"/>
    <w:rsid w:val="00BD4A59"/>
    <w:rsid w:val="00BD5094"/>
    <w:rsid w:val="00BE0A3D"/>
    <w:rsid w:val="00BE0D6D"/>
    <w:rsid w:val="00BE209A"/>
    <w:rsid w:val="00BE6DAF"/>
    <w:rsid w:val="00BF3217"/>
    <w:rsid w:val="00C0059C"/>
    <w:rsid w:val="00C021CB"/>
    <w:rsid w:val="00C06F53"/>
    <w:rsid w:val="00C12227"/>
    <w:rsid w:val="00C1237F"/>
    <w:rsid w:val="00C13519"/>
    <w:rsid w:val="00C13B3C"/>
    <w:rsid w:val="00C15CFC"/>
    <w:rsid w:val="00C27152"/>
    <w:rsid w:val="00C30A22"/>
    <w:rsid w:val="00C320F8"/>
    <w:rsid w:val="00C4435E"/>
    <w:rsid w:val="00C4444A"/>
    <w:rsid w:val="00C45F77"/>
    <w:rsid w:val="00C525C8"/>
    <w:rsid w:val="00C55136"/>
    <w:rsid w:val="00C55B8C"/>
    <w:rsid w:val="00C625D5"/>
    <w:rsid w:val="00C66357"/>
    <w:rsid w:val="00C67872"/>
    <w:rsid w:val="00C73FCD"/>
    <w:rsid w:val="00C76DDE"/>
    <w:rsid w:val="00C81800"/>
    <w:rsid w:val="00C82B58"/>
    <w:rsid w:val="00C849D8"/>
    <w:rsid w:val="00C84F9B"/>
    <w:rsid w:val="00C860F5"/>
    <w:rsid w:val="00C939D5"/>
    <w:rsid w:val="00CA1A80"/>
    <w:rsid w:val="00CB7F75"/>
    <w:rsid w:val="00CC10B8"/>
    <w:rsid w:val="00CC50EB"/>
    <w:rsid w:val="00CC5C10"/>
    <w:rsid w:val="00CD1214"/>
    <w:rsid w:val="00CD17FA"/>
    <w:rsid w:val="00CD47B2"/>
    <w:rsid w:val="00CE1EF5"/>
    <w:rsid w:val="00CF0C4C"/>
    <w:rsid w:val="00CF1DF1"/>
    <w:rsid w:val="00CF3075"/>
    <w:rsid w:val="00CF6646"/>
    <w:rsid w:val="00CF6773"/>
    <w:rsid w:val="00CF7C20"/>
    <w:rsid w:val="00D00144"/>
    <w:rsid w:val="00D04746"/>
    <w:rsid w:val="00D06CC4"/>
    <w:rsid w:val="00D07700"/>
    <w:rsid w:val="00D1268D"/>
    <w:rsid w:val="00D1350B"/>
    <w:rsid w:val="00D14B79"/>
    <w:rsid w:val="00D21DEB"/>
    <w:rsid w:val="00D224D3"/>
    <w:rsid w:val="00D22638"/>
    <w:rsid w:val="00D2266B"/>
    <w:rsid w:val="00D274C6"/>
    <w:rsid w:val="00D33A16"/>
    <w:rsid w:val="00D47058"/>
    <w:rsid w:val="00D534F6"/>
    <w:rsid w:val="00D55ECE"/>
    <w:rsid w:val="00D648C5"/>
    <w:rsid w:val="00D65975"/>
    <w:rsid w:val="00D7679A"/>
    <w:rsid w:val="00D77FAF"/>
    <w:rsid w:val="00D81E5B"/>
    <w:rsid w:val="00D857C6"/>
    <w:rsid w:val="00D903D6"/>
    <w:rsid w:val="00D9401A"/>
    <w:rsid w:val="00D94BCA"/>
    <w:rsid w:val="00DA2ED9"/>
    <w:rsid w:val="00DA414B"/>
    <w:rsid w:val="00DA738D"/>
    <w:rsid w:val="00DB21A6"/>
    <w:rsid w:val="00DB2F6B"/>
    <w:rsid w:val="00DB42DC"/>
    <w:rsid w:val="00DB530C"/>
    <w:rsid w:val="00DC26D8"/>
    <w:rsid w:val="00DD59F9"/>
    <w:rsid w:val="00DD6217"/>
    <w:rsid w:val="00DE4BA7"/>
    <w:rsid w:val="00DE552E"/>
    <w:rsid w:val="00DE6C88"/>
    <w:rsid w:val="00DF1BB6"/>
    <w:rsid w:val="00DF3E35"/>
    <w:rsid w:val="00E025DE"/>
    <w:rsid w:val="00E06037"/>
    <w:rsid w:val="00E06AC9"/>
    <w:rsid w:val="00E14811"/>
    <w:rsid w:val="00E211A6"/>
    <w:rsid w:val="00E27B20"/>
    <w:rsid w:val="00E354FF"/>
    <w:rsid w:val="00E411CD"/>
    <w:rsid w:val="00E415DC"/>
    <w:rsid w:val="00E50C26"/>
    <w:rsid w:val="00E56224"/>
    <w:rsid w:val="00E66AAF"/>
    <w:rsid w:val="00E70076"/>
    <w:rsid w:val="00E819EB"/>
    <w:rsid w:val="00E835F0"/>
    <w:rsid w:val="00E903FD"/>
    <w:rsid w:val="00E95D8D"/>
    <w:rsid w:val="00E965AC"/>
    <w:rsid w:val="00EA0061"/>
    <w:rsid w:val="00EA0832"/>
    <w:rsid w:val="00EA0CF0"/>
    <w:rsid w:val="00EA29CB"/>
    <w:rsid w:val="00EA72DB"/>
    <w:rsid w:val="00EB1F40"/>
    <w:rsid w:val="00EB5AFB"/>
    <w:rsid w:val="00EC1218"/>
    <w:rsid w:val="00EC12EC"/>
    <w:rsid w:val="00ED24CB"/>
    <w:rsid w:val="00ED2774"/>
    <w:rsid w:val="00ED5BAA"/>
    <w:rsid w:val="00EE00E9"/>
    <w:rsid w:val="00EE6DF0"/>
    <w:rsid w:val="00EE7CD6"/>
    <w:rsid w:val="00EF397E"/>
    <w:rsid w:val="00EF6296"/>
    <w:rsid w:val="00F120AA"/>
    <w:rsid w:val="00F12BE8"/>
    <w:rsid w:val="00F20E55"/>
    <w:rsid w:val="00F2229E"/>
    <w:rsid w:val="00F335AF"/>
    <w:rsid w:val="00F34F23"/>
    <w:rsid w:val="00F359D4"/>
    <w:rsid w:val="00F35D39"/>
    <w:rsid w:val="00F475B0"/>
    <w:rsid w:val="00F53B74"/>
    <w:rsid w:val="00F56EA1"/>
    <w:rsid w:val="00F6274A"/>
    <w:rsid w:val="00F67767"/>
    <w:rsid w:val="00F67F52"/>
    <w:rsid w:val="00F77317"/>
    <w:rsid w:val="00F81DA5"/>
    <w:rsid w:val="00F820BC"/>
    <w:rsid w:val="00F849CC"/>
    <w:rsid w:val="00F8544E"/>
    <w:rsid w:val="00F9106F"/>
    <w:rsid w:val="00F95E2E"/>
    <w:rsid w:val="00FA2408"/>
    <w:rsid w:val="00FA396F"/>
    <w:rsid w:val="00FA61DC"/>
    <w:rsid w:val="00FB24AA"/>
    <w:rsid w:val="00FC2B56"/>
    <w:rsid w:val="00FC5E3B"/>
    <w:rsid w:val="00FD0689"/>
    <w:rsid w:val="00FD0CD3"/>
    <w:rsid w:val="00FE6291"/>
    <w:rsid w:val="00FF08A3"/>
    <w:rsid w:val="00FF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61BA"/>
  <w15:chartTrackingRefBased/>
  <w15:docId w15:val="{5896EAE7-05C7-4466-97E7-671A196B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0E"/>
  </w:style>
  <w:style w:type="paragraph" w:styleId="Heading1">
    <w:name w:val="heading 1"/>
    <w:basedOn w:val="Normal"/>
    <w:next w:val="Normal"/>
    <w:link w:val="Heading1Char"/>
    <w:uiPriority w:val="9"/>
    <w:qFormat/>
    <w:rsid w:val="00CF67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1F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73"/>
  </w:style>
  <w:style w:type="paragraph" w:styleId="Footer">
    <w:name w:val="footer"/>
    <w:basedOn w:val="Normal"/>
    <w:link w:val="FooterChar"/>
    <w:uiPriority w:val="99"/>
    <w:unhideWhenUsed/>
    <w:rsid w:val="00CF6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773"/>
  </w:style>
  <w:style w:type="character" w:customStyle="1" w:styleId="Heading1Char">
    <w:name w:val="Heading 1 Char"/>
    <w:basedOn w:val="DefaultParagraphFont"/>
    <w:link w:val="Heading1"/>
    <w:uiPriority w:val="9"/>
    <w:rsid w:val="00CF677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F6773"/>
    <w:pPr>
      <w:ind w:left="720"/>
      <w:contextualSpacing/>
    </w:pPr>
  </w:style>
  <w:style w:type="character" w:styleId="CommentReference">
    <w:name w:val="annotation reference"/>
    <w:basedOn w:val="DefaultParagraphFont"/>
    <w:uiPriority w:val="99"/>
    <w:semiHidden/>
    <w:unhideWhenUsed/>
    <w:rsid w:val="00CF6773"/>
    <w:rPr>
      <w:sz w:val="16"/>
      <w:szCs w:val="16"/>
    </w:rPr>
  </w:style>
  <w:style w:type="paragraph" w:styleId="CommentText">
    <w:name w:val="annotation text"/>
    <w:basedOn w:val="Normal"/>
    <w:link w:val="CommentTextChar"/>
    <w:uiPriority w:val="99"/>
    <w:unhideWhenUsed/>
    <w:rsid w:val="00CF6773"/>
    <w:pPr>
      <w:spacing w:line="240" w:lineRule="auto"/>
    </w:pPr>
    <w:rPr>
      <w:sz w:val="20"/>
      <w:szCs w:val="20"/>
    </w:rPr>
  </w:style>
  <w:style w:type="character" w:customStyle="1" w:styleId="CommentTextChar">
    <w:name w:val="Comment Text Char"/>
    <w:basedOn w:val="DefaultParagraphFont"/>
    <w:link w:val="CommentText"/>
    <w:uiPriority w:val="99"/>
    <w:rsid w:val="00CF6773"/>
    <w:rPr>
      <w:sz w:val="20"/>
      <w:szCs w:val="20"/>
    </w:rPr>
  </w:style>
  <w:style w:type="paragraph" w:styleId="CommentSubject">
    <w:name w:val="annotation subject"/>
    <w:basedOn w:val="CommentText"/>
    <w:next w:val="CommentText"/>
    <w:link w:val="CommentSubjectChar"/>
    <w:uiPriority w:val="99"/>
    <w:semiHidden/>
    <w:unhideWhenUsed/>
    <w:rsid w:val="00CF6773"/>
    <w:rPr>
      <w:b/>
      <w:bCs/>
    </w:rPr>
  </w:style>
  <w:style w:type="character" w:customStyle="1" w:styleId="CommentSubjectChar">
    <w:name w:val="Comment Subject Char"/>
    <w:basedOn w:val="CommentTextChar"/>
    <w:link w:val="CommentSubject"/>
    <w:uiPriority w:val="99"/>
    <w:semiHidden/>
    <w:rsid w:val="00CF6773"/>
    <w:rPr>
      <w:b/>
      <w:bCs/>
      <w:sz w:val="20"/>
      <w:szCs w:val="20"/>
    </w:rPr>
  </w:style>
  <w:style w:type="paragraph" w:styleId="BalloonText">
    <w:name w:val="Balloon Text"/>
    <w:basedOn w:val="Normal"/>
    <w:link w:val="BalloonTextChar"/>
    <w:uiPriority w:val="99"/>
    <w:semiHidden/>
    <w:unhideWhenUsed/>
    <w:rsid w:val="00CF6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73"/>
    <w:rPr>
      <w:rFonts w:ascii="Segoe UI" w:hAnsi="Segoe UI" w:cs="Segoe UI"/>
      <w:sz w:val="18"/>
      <w:szCs w:val="18"/>
    </w:rPr>
  </w:style>
  <w:style w:type="character" w:customStyle="1" w:styleId="Heading2Char">
    <w:name w:val="Heading 2 Char"/>
    <w:basedOn w:val="DefaultParagraphFont"/>
    <w:link w:val="Heading2"/>
    <w:uiPriority w:val="9"/>
    <w:rsid w:val="00201FD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01FD7"/>
    <w:rPr>
      <w:color w:val="0563C1" w:themeColor="hyperlink"/>
      <w:u w:val="single"/>
    </w:rPr>
  </w:style>
  <w:style w:type="table" w:styleId="TableGrid">
    <w:name w:val="Table Grid"/>
    <w:basedOn w:val="TableNormal"/>
    <w:uiPriority w:val="59"/>
    <w:rsid w:val="00D8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3527A"/>
    <w:pPr>
      <w:outlineLvl w:val="9"/>
    </w:pPr>
  </w:style>
  <w:style w:type="paragraph" w:styleId="TOC1">
    <w:name w:val="toc 1"/>
    <w:basedOn w:val="Normal"/>
    <w:next w:val="Normal"/>
    <w:autoRedefine/>
    <w:uiPriority w:val="39"/>
    <w:unhideWhenUsed/>
    <w:rsid w:val="0083527A"/>
    <w:pPr>
      <w:spacing w:after="100"/>
    </w:pPr>
  </w:style>
  <w:style w:type="paragraph" w:styleId="TOC2">
    <w:name w:val="toc 2"/>
    <w:basedOn w:val="Normal"/>
    <w:next w:val="Normal"/>
    <w:autoRedefine/>
    <w:uiPriority w:val="39"/>
    <w:unhideWhenUsed/>
    <w:rsid w:val="0083527A"/>
    <w:pPr>
      <w:spacing w:after="100"/>
      <w:ind w:left="220"/>
    </w:pPr>
  </w:style>
  <w:style w:type="character" w:styleId="FollowedHyperlink">
    <w:name w:val="FollowedHyperlink"/>
    <w:basedOn w:val="DefaultParagraphFont"/>
    <w:uiPriority w:val="99"/>
    <w:semiHidden/>
    <w:unhideWhenUsed/>
    <w:rsid w:val="004B08DA"/>
    <w:rPr>
      <w:color w:val="954F72" w:themeColor="followedHyperlink"/>
      <w:u w:val="single"/>
    </w:rPr>
  </w:style>
  <w:style w:type="paragraph" w:styleId="Revision">
    <w:name w:val="Revision"/>
    <w:hidden/>
    <w:uiPriority w:val="99"/>
    <w:semiHidden/>
    <w:rsid w:val="00F56EA1"/>
    <w:pPr>
      <w:spacing w:after="0" w:line="240" w:lineRule="auto"/>
    </w:pPr>
  </w:style>
  <w:style w:type="character" w:styleId="UnresolvedMention">
    <w:name w:val="Unresolved Mention"/>
    <w:basedOn w:val="DefaultParagraphFont"/>
    <w:uiPriority w:val="99"/>
    <w:semiHidden/>
    <w:unhideWhenUsed/>
    <w:rsid w:val="006C7A46"/>
    <w:rPr>
      <w:color w:val="605E5C"/>
      <w:shd w:val="clear" w:color="auto" w:fill="E1DFDD"/>
    </w:rPr>
  </w:style>
  <w:style w:type="paragraph" w:customStyle="1" w:styleId="Default">
    <w:name w:val="Default"/>
    <w:rsid w:val="00E5622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97A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AFB"/>
    <w:rPr>
      <w:b/>
      <w:bCs/>
    </w:rPr>
  </w:style>
  <w:style w:type="character" w:customStyle="1" w:styleId="cf01">
    <w:name w:val="cf01"/>
    <w:basedOn w:val="DefaultParagraphFont"/>
    <w:rsid w:val="00E148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044">
      <w:bodyDiv w:val="1"/>
      <w:marLeft w:val="0"/>
      <w:marRight w:val="0"/>
      <w:marTop w:val="0"/>
      <w:marBottom w:val="0"/>
      <w:divBdr>
        <w:top w:val="none" w:sz="0" w:space="0" w:color="auto"/>
        <w:left w:val="none" w:sz="0" w:space="0" w:color="auto"/>
        <w:bottom w:val="none" w:sz="0" w:space="0" w:color="auto"/>
        <w:right w:val="none" w:sz="0" w:space="0" w:color="auto"/>
      </w:divBdr>
    </w:div>
    <w:div w:id="453981554">
      <w:bodyDiv w:val="1"/>
      <w:marLeft w:val="0"/>
      <w:marRight w:val="0"/>
      <w:marTop w:val="0"/>
      <w:marBottom w:val="0"/>
      <w:divBdr>
        <w:top w:val="none" w:sz="0" w:space="0" w:color="auto"/>
        <w:left w:val="none" w:sz="0" w:space="0" w:color="auto"/>
        <w:bottom w:val="none" w:sz="0" w:space="0" w:color="auto"/>
        <w:right w:val="none" w:sz="0" w:space="0" w:color="auto"/>
      </w:divBdr>
    </w:div>
    <w:div w:id="528841705">
      <w:bodyDiv w:val="1"/>
      <w:marLeft w:val="0"/>
      <w:marRight w:val="0"/>
      <w:marTop w:val="0"/>
      <w:marBottom w:val="0"/>
      <w:divBdr>
        <w:top w:val="none" w:sz="0" w:space="0" w:color="auto"/>
        <w:left w:val="none" w:sz="0" w:space="0" w:color="auto"/>
        <w:bottom w:val="none" w:sz="0" w:space="0" w:color="auto"/>
        <w:right w:val="none" w:sz="0" w:space="0" w:color="auto"/>
      </w:divBdr>
    </w:div>
    <w:div w:id="559903615">
      <w:bodyDiv w:val="1"/>
      <w:marLeft w:val="0"/>
      <w:marRight w:val="0"/>
      <w:marTop w:val="0"/>
      <w:marBottom w:val="0"/>
      <w:divBdr>
        <w:top w:val="none" w:sz="0" w:space="0" w:color="auto"/>
        <w:left w:val="none" w:sz="0" w:space="0" w:color="auto"/>
        <w:bottom w:val="none" w:sz="0" w:space="0" w:color="auto"/>
        <w:right w:val="none" w:sz="0" w:space="0" w:color="auto"/>
      </w:divBdr>
    </w:div>
    <w:div w:id="608008584">
      <w:bodyDiv w:val="1"/>
      <w:marLeft w:val="0"/>
      <w:marRight w:val="0"/>
      <w:marTop w:val="0"/>
      <w:marBottom w:val="0"/>
      <w:divBdr>
        <w:top w:val="none" w:sz="0" w:space="0" w:color="auto"/>
        <w:left w:val="none" w:sz="0" w:space="0" w:color="auto"/>
        <w:bottom w:val="none" w:sz="0" w:space="0" w:color="auto"/>
        <w:right w:val="none" w:sz="0" w:space="0" w:color="auto"/>
      </w:divBdr>
    </w:div>
    <w:div w:id="723677931">
      <w:bodyDiv w:val="1"/>
      <w:marLeft w:val="0"/>
      <w:marRight w:val="0"/>
      <w:marTop w:val="0"/>
      <w:marBottom w:val="0"/>
      <w:divBdr>
        <w:top w:val="none" w:sz="0" w:space="0" w:color="auto"/>
        <w:left w:val="none" w:sz="0" w:space="0" w:color="auto"/>
        <w:bottom w:val="none" w:sz="0" w:space="0" w:color="auto"/>
        <w:right w:val="none" w:sz="0" w:space="0" w:color="auto"/>
      </w:divBdr>
    </w:div>
    <w:div w:id="853882002">
      <w:bodyDiv w:val="1"/>
      <w:marLeft w:val="0"/>
      <w:marRight w:val="0"/>
      <w:marTop w:val="0"/>
      <w:marBottom w:val="0"/>
      <w:divBdr>
        <w:top w:val="none" w:sz="0" w:space="0" w:color="auto"/>
        <w:left w:val="none" w:sz="0" w:space="0" w:color="auto"/>
        <w:bottom w:val="none" w:sz="0" w:space="0" w:color="auto"/>
        <w:right w:val="none" w:sz="0" w:space="0" w:color="auto"/>
      </w:divBdr>
    </w:div>
    <w:div w:id="937715180">
      <w:bodyDiv w:val="1"/>
      <w:marLeft w:val="0"/>
      <w:marRight w:val="0"/>
      <w:marTop w:val="0"/>
      <w:marBottom w:val="0"/>
      <w:divBdr>
        <w:top w:val="none" w:sz="0" w:space="0" w:color="auto"/>
        <w:left w:val="none" w:sz="0" w:space="0" w:color="auto"/>
        <w:bottom w:val="none" w:sz="0" w:space="0" w:color="auto"/>
        <w:right w:val="none" w:sz="0" w:space="0" w:color="auto"/>
      </w:divBdr>
    </w:div>
    <w:div w:id="969558986">
      <w:bodyDiv w:val="1"/>
      <w:marLeft w:val="0"/>
      <w:marRight w:val="0"/>
      <w:marTop w:val="0"/>
      <w:marBottom w:val="0"/>
      <w:divBdr>
        <w:top w:val="none" w:sz="0" w:space="0" w:color="auto"/>
        <w:left w:val="none" w:sz="0" w:space="0" w:color="auto"/>
        <w:bottom w:val="none" w:sz="0" w:space="0" w:color="auto"/>
        <w:right w:val="none" w:sz="0" w:space="0" w:color="auto"/>
      </w:divBdr>
    </w:div>
    <w:div w:id="1228689501">
      <w:bodyDiv w:val="1"/>
      <w:marLeft w:val="0"/>
      <w:marRight w:val="0"/>
      <w:marTop w:val="0"/>
      <w:marBottom w:val="0"/>
      <w:divBdr>
        <w:top w:val="none" w:sz="0" w:space="0" w:color="auto"/>
        <w:left w:val="none" w:sz="0" w:space="0" w:color="auto"/>
        <w:bottom w:val="none" w:sz="0" w:space="0" w:color="auto"/>
        <w:right w:val="none" w:sz="0" w:space="0" w:color="auto"/>
      </w:divBdr>
      <w:divsChild>
        <w:div w:id="2053528638">
          <w:marLeft w:val="1339"/>
          <w:marRight w:val="0"/>
          <w:marTop w:val="0"/>
          <w:marBottom w:val="0"/>
          <w:divBdr>
            <w:top w:val="none" w:sz="0" w:space="0" w:color="auto"/>
            <w:left w:val="none" w:sz="0" w:space="0" w:color="auto"/>
            <w:bottom w:val="none" w:sz="0" w:space="0" w:color="auto"/>
            <w:right w:val="none" w:sz="0" w:space="0" w:color="auto"/>
          </w:divBdr>
        </w:div>
        <w:div w:id="203368222">
          <w:marLeft w:val="1339"/>
          <w:marRight w:val="0"/>
          <w:marTop w:val="0"/>
          <w:marBottom w:val="0"/>
          <w:divBdr>
            <w:top w:val="none" w:sz="0" w:space="0" w:color="auto"/>
            <w:left w:val="none" w:sz="0" w:space="0" w:color="auto"/>
            <w:bottom w:val="none" w:sz="0" w:space="0" w:color="auto"/>
            <w:right w:val="none" w:sz="0" w:space="0" w:color="auto"/>
          </w:divBdr>
        </w:div>
      </w:divsChild>
    </w:div>
    <w:div w:id="1273707272">
      <w:bodyDiv w:val="1"/>
      <w:marLeft w:val="0"/>
      <w:marRight w:val="0"/>
      <w:marTop w:val="0"/>
      <w:marBottom w:val="0"/>
      <w:divBdr>
        <w:top w:val="none" w:sz="0" w:space="0" w:color="auto"/>
        <w:left w:val="none" w:sz="0" w:space="0" w:color="auto"/>
        <w:bottom w:val="none" w:sz="0" w:space="0" w:color="auto"/>
        <w:right w:val="none" w:sz="0" w:space="0" w:color="auto"/>
      </w:divBdr>
    </w:div>
    <w:div w:id="1484008640">
      <w:bodyDiv w:val="1"/>
      <w:marLeft w:val="0"/>
      <w:marRight w:val="0"/>
      <w:marTop w:val="0"/>
      <w:marBottom w:val="0"/>
      <w:divBdr>
        <w:top w:val="none" w:sz="0" w:space="0" w:color="auto"/>
        <w:left w:val="none" w:sz="0" w:space="0" w:color="auto"/>
        <w:bottom w:val="none" w:sz="0" w:space="0" w:color="auto"/>
        <w:right w:val="none" w:sz="0" w:space="0" w:color="auto"/>
      </w:divBdr>
    </w:div>
    <w:div w:id="1565607308">
      <w:bodyDiv w:val="1"/>
      <w:marLeft w:val="0"/>
      <w:marRight w:val="0"/>
      <w:marTop w:val="0"/>
      <w:marBottom w:val="0"/>
      <w:divBdr>
        <w:top w:val="none" w:sz="0" w:space="0" w:color="auto"/>
        <w:left w:val="none" w:sz="0" w:space="0" w:color="auto"/>
        <w:bottom w:val="none" w:sz="0" w:space="0" w:color="auto"/>
        <w:right w:val="none" w:sz="0" w:space="0" w:color="auto"/>
      </w:divBdr>
    </w:div>
    <w:div w:id="2064405209">
      <w:bodyDiv w:val="1"/>
      <w:marLeft w:val="0"/>
      <w:marRight w:val="0"/>
      <w:marTop w:val="0"/>
      <w:marBottom w:val="0"/>
      <w:divBdr>
        <w:top w:val="none" w:sz="0" w:space="0" w:color="auto"/>
        <w:left w:val="none" w:sz="0" w:space="0" w:color="auto"/>
        <w:bottom w:val="none" w:sz="0" w:space="0" w:color="auto"/>
        <w:right w:val="none" w:sz="0" w:space="0" w:color="auto"/>
      </w:divBdr>
    </w:div>
    <w:div w:id="213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2.juniata.edu/facilities/trip-registration/" TargetMode="External"/><Relationship Id="rId13" Type="http://schemas.openxmlformats.org/officeDocument/2006/relationships/hyperlink" Target="https://aoprals.state.gov/web920/per_diem.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oprals.state.gov/web920/per_diem_action.asp?MenuHide=1&amp;CountryCode=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travel/plan-book/per-diem-r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uniata.terradotta.com/index.cfm?FuseAction=Programs.ViewProgramAngular&amp;id=25921" TargetMode="External"/><Relationship Id="rId4" Type="http://schemas.openxmlformats.org/officeDocument/2006/relationships/settings" Target="settings.xml"/><Relationship Id="rId9" Type="http://schemas.openxmlformats.org/officeDocument/2006/relationships/hyperlink" Target="https://juniata.terradotta.com/index.cfm?FuseAction=Programs.ViewProgramAngular&amp;id=25921" TargetMode="External"/><Relationship Id="rId14" Type="http://schemas.openxmlformats.org/officeDocument/2006/relationships/hyperlink" Target="https://arch.juniata.edu/employees/finance-and-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08814-ADBD-46F3-BE30-BD9215E1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Camenga, Kristin (CAMENGA)</dc:creator>
  <cp:keywords/>
  <dc:description/>
  <cp:lastModifiedBy>Latten, James E (LATTEN)</cp:lastModifiedBy>
  <cp:revision>2</cp:revision>
  <cp:lastPrinted>2024-01-25T18:36:00Z</cp:lastPrinted>
  <dcterms:created xsi:type="dcterms:W3CDTF">2024-01-25T20:12:00Z</dcterms:created>
  <dcterms:modified xsi:type="dcterms:W3CDTF">2024-01-25T20:12:00Z</dcterms:modified>
</cp:coreProperties>
</file>