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7E23D" w14:textId="25010FC4" w:rsidR="00A11D93" w:rsidRPr="009B35DC" w:rsidRDefault="00FA3DC7" w:rsidP="00FA3DC7">
      <w:pPr>
        <w:jc w:val="center"/>
        <w:rPr>
          <w:sz w:val="24"/>
        </w:rPr>
      </w:pPr>
      <w:r w:rsidRPr="009B35DC">
        <w:rPr>
          <w:sz w:val="24"/>
        </w:rPr>
        <w:t xml:space="preserve">Assessment Summary for </w:t>
      </w:r>
      <w:r w:rsidR="00EE4440">
        <w:rPr>
          <w:sz w:val="24"/>
        </w:rPr>
        <w:t>Fine Arts</w:t>
      </w:r>
    </w:p>
    <w:p w14:paraId="2F6F0F89" w14:textId="47A01FFB" w:rsidR="00FA3DC7" w:rsidRDefault="00EE4440" w:rsidP="00FA3DC7">
      <w:pPr>
        <w:jc w:val="center"/>
      </w:pPr>
      <w:r>
        <w:t>2014-2015</w:t>
      </w:r>
    </w:p>
    <w:tbl>
      <w:tblPr>
        <w:tblStyle w:val="TableGrid"/>
        <w:tblW w:w="10728" w:type="dxa"/>
        <w:tblLayout w:type="fixed"/>
        <w:tblLook w:val="04A0" w:firstRow="1" w:lastRow="0" w:firstColumn="1" w:lastColumn="0" w:noHBand="0" w:noVBand="1"/>
      </w:tblPr>
      <w:tblGrid>
        <w:gridCol w:w="10728"/>
      </w:tblGrid>
      <w:tr w:rsidR="00FA3DC7" w14:paraId="53B1A73A" w14:textId="77777777" w:rsidTr="00CE50D9">
        <w:tc>
          <w:tcPr>
            <w:tcW w:w="10728" w:type="dxa"/>
            <w:shd w:val="clear" w:color="auto" w:fill="D9D9D9" w:themeFill="background1" w:themeFillShade="D9"/>
          </w:tcPr>
          <w:p w14:paraId="52B3B849" w14:textId="77777777" w:rsidR="00FA3DC7" w:rsidRDefault="005262EA" w:rsidP="005262EA">
            <w:r>
              <w:rPr>
                <w:b/>
              </w:rPr>
              <w:t>General Education Goal Assessed</w:t>
            </w:r>
          </w:p>
        </w:tc>
      </w:tr>
      <w:tr w:rsidR="005262EA" w14:paraId="1FAFD601" w14:textId="77777777" w:rsidTr="00CE50D9">
        <w:tc>
          <w:tcPr>
            <w:tcW w:w="10728" w:type="dxa"/>
          </w:tcPr>
          <w:p w14:paraId="61694CB0" w14:textId="297EAFF6" w:rsidR="00883076" w:rsidRPr="00883076" w:rsidRDefault="00EE4440" w:rsidP="005262EA">
            <w:r>
              <w:rPr>
                <w:color w:val="000000"/>
              </w:rPr>
              <w:t>Fine Arts (F): Fine arts courses examine the interaction of elements within art forms, the ways in which these interactions produce artistic expression, and the conventions of the particular artistic disciplines. In these courses, students expand their expressive abilities and/or sharpen their skills at formal analysis (such as how to experience a work of art).  </w:t>
            </w:r>
          </w:p>
        </w:tc>
      </w:tr>
      <w:tr w:rsidR="00A66019" w14:paraId="5F453010" w14:textId="77777777" w:rsidTr="00CE50D9">
        <w:trPr>
          <w:trHeight w:val="323"/>
        </w:trPr>
        <w:tc>
          <w:tcPr>
            <w:tcW w:w="10728" w:type="dxa"/>
            <w:shd w:val="clear" w:color="auto" w:fill="D9D9D9" w:themeFill="background1" w:themeFillShade="D9"/>
          </w:tcPr>
          <w:p w14:paraId="3766011B" w14:textId="11A2BE96" w:rsidR="00A66019" w:rsidRPr="00DC0734" w:rsidRDefault="00A66019" w:rsidP="005262EA">
            <w:pPr>
              <w:rPr>
                <w:b/>
              </w:rPr>
            </w:pPr>
            <w:r>
              <w:rPr>
                <w:b/>
              </w:rPr>
              <w:t>Course Enrollments: Fine Arts</w:t>
            </w:r>
          </w:p>
        </w:tc>
      </w:tr>
      <w:tr w:rsidR="00A66019" w14:paraId="537D86A1" w14:textId="77777777" w:rsidTr="00A66019">
        <w:trPr>
          <w:trHeight w:val="323"/>
        </w:trPr>
        <w:tc>
          <w:tcPr>
            <w:tcW w:w="10728" w:type="dxa"/>
            <w:shd w:val="clear" w:color="auto" w:fill="FFFFFF" w:themeFill="background1"/>
          </w:tcPr>
          <w:p w14:paraId="6F2D945A" w14:textId="77777777" w:rsidR="00A66019" w:rsidRDefault="00A66019" w:rsidP="00A66019">
            <w:r>
              <w:t xml:space="preserve">Data gathered from the Registrar’s office in Spring 2015 identified that for the past 10 years, 6, 173 students have enrolled in instrumental music courses.  The second largest enrollments in courses with the designation of F were in the Art Department, with 2,801 students. </w:t>
            </w:r>
          </w:p>
          <w:p w14:paraId="58195B03" w14:textId="77777777" w:rsidR="00A66019" w:rsidRPr="005C3712" w:rsidRDefault="00A66019" w:rsidP="00A66019">
            <w:pPr>
              <w:rPr>
                <w:b/>
              </w:rPr>
            </w:pPr>
            <w:r w:rsidRPr="005C3712">
              <w:rPr>
                <w:b/>
              </w:rPr>
              <w:t>Fine Arts</w:t>
            </w:r>
          </w:p>
          <w:p w14:paraId="5FC5696A" w14:textId="77777777" w:rsidR="00A66019" w:rsidRDefault="00A66019" w:rsidP="00A66019">
            <w:pPr>
              <w:jc w:val="center"/>
            </w:pPr>
            <w:r>
              <w:rPr>
                <w:noProof/>
              </w:rPr>
              <w:drawing>
                <wp:inline distT="0" distB="0" distL="0" distR="0" wp14:anchorId="6FE5978D" wp14:editId="55F3E6FF">
                  <wp:extent cx="5124450" cy="24765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369F3DB" w14:textId="77777777" w:rsidR="00A66019" w:rsidRDefault="00A66019" w:rsidP="00A66019"/>
          <w:p w14:paraId="02BCE510" w14:textId="77777777" w:rsidR="00A66019" w:rsidRDefault="00A66019" w:rsidP="00A66019">
            <w:r>
              <w:t xml:space="preserve">Over the past 3 years, a similar pattern of enrollments is seen in F designated courses.  </w:t>
            </w:r>
          </w:p>
          <w:p w14:paraId="23AC5BC0" w14:textId="77777777" w:rsidR="00A66019" w:rsidRDefault="00A66019" w:rsidP="00A66019">
            <w:pPr>
              <w:jc w:val="center"/>
            </w:pPr>
            <w:r>
              <w:rPr>
                <w:noProof/>
              </w:rPr>
              <w:drawing>
                <wp:inline distT="0" distB="0" distL="0" distR="0" wp14:anchorId="08F19856" wp14:editId="376DCA99">
                  <wp:extent cx="5019675" cy="26574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6488C6D" w14:textId="77777777" w:rsidR="00A66019" w:rsidRDefault="00A66019" w:rsidP="00A66019">
            <w:pPr>
              <w:jc w:val="center"/>
            </w:pPr>
          </w:p>
          <w:p w14:paraId="483FFA81" w14:textId="77777777" w:rsidR="00A66019" w:rsidRDefault="00A66019" w:rsidP="00A66019"/>
          <w:p w14:paraId="5979F696" w14:textId="77777777" w:rsidR="00A66019" w:rsidRDefault="00A66019" w:rsidP="00A66019">
            <w:r>
              <w:t xml:space="preserve">The 6 top enrolled courses in these departments for the past 10 years are </w:t>
            </w:r>
          </w:p>
          <w:p w14:paraId="36F5BC86" w14:textId="77777777" w:rsidR="00A66019" w:rsidRDefault="00A66019" w:rsidP="00A66019">
            <w:pPr>
              <w:jc w:val="center"/>
            </w:pPr>
            <w:r>
              <w:rPr>
                <w:noProof/>
              </w:rPr>
              <w:lastRenderedPageBreak/>
              <w:drawing>
                <wp:inline distT="0" distB="0" distL="0" distR="0" wp14:anchorId="0A0221A2" wp14:editId="0ED0F35C">
                  <wp:extent cx="5562600" cy="30670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4E26F7" w14:textId="77777777" w:rsidR="00A66019" w:rsidRDefault="00A66019" w:rsidP="00A66019">
            <w:r>
              <w:t>And for the past 3 years,</w:t>
            </w:r>
          </w:p>
          <w:p w14:paraId="2D3993BE" w14:textId="77777777" w:rsidR="00A66019" w:rsidRDefault="00A66019" w:rsidP="00A66019">
            <w:pPr>
              <w:jc w:val="center"/>
            </w:pPr>
            <w:r>
              <w:rPr>
                <w:noProof/>
              </w:rPr>
              <w:drawing>
                <wp:inline distT="0" distB="0" distL="0" distR="0" wp14:anchorId="0114CA0C" wp14:editId="3FD74975">
                  <wp:extent cx="6048375" cy="314325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E5BAD7" w14:textId="77777777" w:rsidR="00A66019" w:rsidRDefault="00A66019" w:rsidP="00A66019"/>
          <w:p w14:paraId="4C3D8346" w14:textId="1ED96CED" w:rsidR="00A66019" w:rsidRDefault="00A66019" w:rsidP="00A66019">
            <w:r>
              <w:t>The MU-Instrumental Courses</w:t>
            </w:r>
            <w:r w:rsidR="00BC569E">
              <w:t xml:space="preserve"> (which includes instrumental lessons as well as choral courses such as Concert Choir and Choral Union)</w:t>
            </w:r>
            <w:r>
              <w:t xml:space="preserve"> represent a wide array of courses.  For the past three years, the top enrolled instrumental music courses are</w:t>
            </w:r>
          </w:p>
          <w:p w14:paraId="6EE204F8" w14:textId="77777777" w:rsidR="00A66019" w:rsidRDefault="00A66019" w:rsidP="00A66019">
            <w:r>
              <w:rPr>
                <w:noProof/>
              </w:rPr>
              <w:lastRenderedPageBreak/>
              <w:drawing>
                <wp:inline distT="0" distB="0" distL="0" distR="0" wp14:anchorId="7CEB157E" wp14:editId="61A47B38">
                  <wp:extent cx="5695950" cy="3114675"/>
                  <wp:effectExtent l="0" t="0" r="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2BB706" w14:textId="77777777" w:rsidR="00A66019" w:rsidRDefault="00A66019" w:rsidP="00A66019"/>
          <w:p w14:paraId="690DDA53" w14:textId="77777777" w:rsidR="00A66019" w:rsidRPr="00DC0734" w:rsidRDefault="00A66019" w:rsidP="005262EA">
            <w:pPr>
              <w:rPr>
                <w:b/>
              </w:rPr>
            </w:pPr>
          </w:p>
        </w:tc>
      </w:tr>
      <w:tr w:rsidR="00A66019" w14:paraId="4FBFDFDF" w14:textId="77777777" w:rsidTr="00CE50D9">
        <w:trPr>
          <w:trHeight w:val="323"/>
        </w:trPr>
        <w:tc>
          <w:tcPr>
            <w:tcW w:w="10728" w:type="dxa"/>
            <w:shd w:val="clear" w:color="auto" w:fill="D9D9D9" w:themeFill="background1" w:themeFillShade="D9"/>
          </w:tcPr>
          <w:p w14:paraId="30628CCA" w14:textId="07A16551" w:rsidR="00A66019" w:rsidRPr="00DC0734" w:rsidRDefault="00A66019" w:rsidP="00A66019">
            <w:pPr>
              <w:rPr>
                <w:b/>
              </w:rPr>
            </w:pPr>
            <w:r w:rsidRPr="00DC0734">
              <w:rPr>
                <w:b/>
              </w:rPr>
              <w:lastRenderedPageBreak/>
              <w:t xml:space="preserve">Focus of </w:t>
            </w:r>
            <w:r>
              <w:rPr>
                <w:b/>
              </w:rPr>
              <w:t xml:space="preserve">the </w:t>
            </w:r>
            <w:r w:rsidRPr="00DC0734">
              <w:rPr>
                <w:b/>
              </w:rPr>
              <w:t>Assessment</w:t>
            </w:r>
          </w:p>
        </w:tc>
      </w:tr>
      <w:tr w:rsidR="00A66019" w14:paraId="35038ECB" w14:textId="77777777" w:rsidTr="00A66019">
        <w:trPr>
          <w:trHeight w:val="3410"/>
        </w:trPr>
        <w:tc>
          <w:tcPr>
            <w:tcW w:w="10728" w:type="dxa"/>
            <w:shd w:val="clear" w:color="auto" w:fill="FFFFFF" w:themeFill="background1"/>
          </w:tcPr>
          <w:p w14:paraId="251CC541" w14:textId="6C136873" w:rsidR="00A66019" w:rsidRDefault="00A66019" w:rsidP="00A66019">
            <w:r>
              <w:t xml:space="preserve">This assessment was designed to evaluate student gains knowledge </w:t>
            </w:r>
            <w:r w:rsidR="00101742">
              <w:t>in</w:t>
            </w:r>
            <w:r>
              <w:t xml:space="preserve"> key content areas of a Survey of Western Art course. Specifically, students were asked to demonstrate their knowledge </w:t>
            </w:r>
            <w:r w:rsidR="00101742">
              <w:t xml:space="preserve">on a pre-post measure that included items connected to the content areas of:  </w:t>
            </w:r>
            <w:r>
              <w:t>Art, Art Vocabulary, Style, and People and Artists.   This links to the Fine Arts designation of our Breadth in Knowledge Component of our general education curriculum by purposefully focusing on the development of the vocabulary used in the fields of Art and Art history, understanding he characteristics and elements of particular artistic style and periods, and understanding key contributors to Art throughout history.</w:t>
            </w:r>
          </w:p>
          <w:p w14:paraId="5BC80C34" w14:textId="77777777" w:rsidR="00A66019" w:rsidRDefault="00A66019" w:rsidP="00A66019"/>
          <w:p w14:paraId="24890C92" w14:textId="77777777" w:rsidR="00A66019" w:rsidRDefault="00A66019" w:rsidP="00A66019">
            <w:r>
              <w:t xml:space="preserve">Juniata’s 2012 Middle States self-study identified that there is a smaller selection of F designated courses available to our students.  </w:t>
            </w:r>
            <w:r>
              <w:rPr>
                <w:rFonts w:cs="Arial"/>
                <w:szCs w:val="24"/>
              </w:rPr>
              <w:t>Figure 3</w:t>
            </w:r>
            <w:r w:rsidRPr="008D45E1">
              <w:rPr>
                <w:rFonts w:cs="Arial"/>
                <w:szCs w:val="24"/>
              </w:rPr>
              <w:t xml:space="preserve"> </w:t>
            </w:r>
            <w:r>
              <w:rPr>
                <w:rFonts w:cs="Arial"/>
                <w:szCs w:val="24"/>
              </w:rPr>
              <w:t xml:space="preserve">below </w:t>
            </w:r>
            <w:r w:rsidRPr="008D45E1">
              <w:rPr>
                <w:rFonts w:cs="Arial"/>
                <w:szCs w:val="24"/>
              </w:rPr>
              <w:t>illustrates the total number of FISHN courses taken and the average number of courses taken in each FISHN category for the graduating classes of 2001, 2006, and 2011.  Please note that courses with multiple designations appear in more than one category.</w:t>
            </w:r>
            <w:r>
              <w:rPr>
                <w:rFonts w:cs="Arial"/>
                <w:szCs w:val="24"/>
              </w:rPr>
              <w:t xml:space="preserve"> </w:t>
            </w:r>
          </w:p>
          <w:p w14:paraId="38B4032C" w14:textId="77777777" w:rsidR="00A66019" w:rsidRDefault="00A66019" w:rsidP="00A66019"/>
          <w:p w14:paraId="6CEA896C" w14:textId="77777777" w:rsidR="00A66019" w:rsidRPr="008D45E1" w:rsidRDefault="00A66019" w:rsidP="00A66019">
            <w:pPr>
              <w:keepNext/>
              <w:rPr>
                <w:rFonts w:cs="Arial"/>
                <w:bCs/>
                <w:szCs w:val="24"/>
              </w:rPr>
            </w:pPr>
            <w:r w:rsidRPr="008D45E1">
              <w:rPr>
                <w:rFonts w:cs="Arial"/>
                <w:bCs/>
                <w:szCs w:val="24"/>
              </w:rPr>
              <w:t xml:space="preserve">Figure </w:t>
            </w:r>
            <w:r>
              <w:rPr>
                <w:rFonts w:cs="Arial"/>
                <w:bCs/>
                <w:szCs w:val="24"/>
              </w:rPr>
              <w:t>3</w:t>
            </w:r>
            <w:r w:rsidRPr="008D45E1">
              <w:rPr>
                <w:rFonts w:cs="Arial"/>
                <w:bCs/>
                <w:szCs w:val="24"/>
              </w:rPr>
              <w:t>:  FISHN courses taken by students, 2001, 2006, 2011</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961"/>
              <w:gridCol w:w="936"/>
              <w:gridCol w:w="792"/>
              <w:gridCol w:w="961"/>
              <w:gridCol w:w="1032"/>
              <w:gridCol w:w="792"/>
              <w:gridCol w:w="961"/>
              <w:gridCol w:w="1241"/>
            </w:tblGrid>
            <w:tr w:rsidR="00A66019" w:rsidRPr="008D45E1" w14:paraId="46515690" w14:textId="77777777" w:rsidTr="00600143">
              <w:trPr>
                <w:tblHeader/>
              </w:trPr>
              <w:tc>
                <w:tcPr>
                  <w:tcW w:w="2689" w:type="dxa"/>
                  <w:gridSpan w:val="3"/>
                  <w:shd w:val="clear" w:color="auto" w:fill="EEECE1"/>
                  <w:vAlign w:val="center"/>
                </w:tcPr>
                <w:p w14:paraId="7CA6D749" w14:textId="77777777" w:rsidR="00A66019" w:rsidRPr="00933152" w:rsidRDefault="00A66019" w:rsidP="00A66019">
                  <w:pPr>
                    <w:keepNext/>
                    <w:jc w:val="center"/>
                    <w:rPr>
                      <w:rFonts w:cs="Arial"/>
                      <w:szCs w:val="24"/>
                    </w:rPr>
                  </w:pPr>
                  <w:r w:rsidRPr="00933152">
                    <w:rPr>
                      <w:rFonts w:cs="Arial"/>
                      <w:szCs w:val="24"/>
                    </w:rPr>
                    <w:t>2001</w:t>
                  </w:r>
                </w:p>
              </w:tc>
              <w:tc>
                <w:tcPr>
                  <w:tcW w:w="2785" w:type="dxa"/>
                  <w:gridSpan w:val="3"/>
                  <w:shd w:val="clear" w:color="auto" w:fill="auto"/>
                  <w:vAlign w:val="center"/>
                </w:tcPr>
                <w:p w14:paraId="279E10D2" w14:textId="77777777" w:rsidR="00A66019" w:rsidRPr="00933152" w:rsidRDefault="00A66019" w:rsidP="00A66019">
                  <w:pPr>
                    <w:keepNext/>
                    <w:jc w:val="center"/>
                    <w:rPr>
                      <w:rFonts w:cs="Arial"/>
                      <w:szCs w:val="24"/>
                    </w:rPr>
                  </w:pPr>
                  <w:r w:rsidRPr="00933152">
                    <w:rPr>
                      <w:rFonts w:cs="Arial"/>
                      <w:szCs w:val="24"/>
                    </w:rPr>
                    <w:t>2006</w:t>
                  </w:r>
                </w:p>
              </w:tc>
              <w:tc>
                <w:tcPr>
                  <w:tcW w:w="2994" w:type="dxa"/>
                  <w:gridSpan w:val="3"/>
                  <w:shd w:val="clear" w:color="auto" w:fill="EEECE1"/>
                  <w:vAlign w:val="center"/>
                </w:tcPr>
                <w:p w14:paraId="75F80128" w14:textId="77777777" w:rsidR="00A66019" w:rsidRPr="00933152" w:rsidRDefault="00A66019" w:rsidP="00A66019">
                  <w:pPr>
                    <w:keepNext/>
                    <w:jc w:val="center"/>
                    <w:rPr>
                      <w:rFonts w:cs="Arial"/>
                      <w:szCs w:val="24"/>
                    </w:rPr>
                  </w:pPr>
                  <w:r w:rsidRPr="00933152">
                    <w:rPr>
                      <w:rFonts w:cs="Arial"/>
                      <w:szCs w:val="24"/>
                    </w:rPr>
                    <w:t>2011</w:t>
                  </w:r>
                </w:p>
              </w:tc>
            </w:tr>
            <w:tr w:rsidR="00A66019" w:rsidRPr="008D45E1" w14:paraId="774AD3F6" w14:textId="77777777" w:rsidTr="00600143">
              <w:trPr>
                <w:tblHeader/>
              </w:trPr>
              <w:tc>
                <w:tcPr>
                  <w:tcW w:w="792" w:type="dxa"/>
                  <w:shd w:val="clear" w:color="auto" w:fill="EEECE1"/>
                  <w:vAlign w:val="bottom"/>
                </w:tcPr>
                <w:p w14:paraId="3972B60B" w14:textId="77777777" w:rsidR="00A66019" w:rsidRPr="00933152" w:rsidRDefault="00A66019" w:rsidP="00A66019">
                  <w:pPr>
                    <w:keepNext/>
                    <w:rPr>
                      <w:rFonts w:cs="Arial"/>
                      <w:szCs w:val="24"/>
                    </w:rPr>
                  </w:pPr>
                  <w:r w:rsidRPr="00933152">
                    <w:rPr>
                      <w:rFonts w:cs="Arial"/>
                      <w:szCs w:val="24"/>
                    </w:rPr>
                    <w:t>Type</w:t>
                  </w:r>
                </w:p>
              </w:tc>
              <w:tc>
                <w:tcPr>
                  <w:tcW w:w="961" w:type="dxa"/>
                  <w:shd w:val="clear" w:color="auto" w:fill="EEECE1"/>
                  <w:vAlign w:val="bottom"/>
                </w:tcPr>
                <w:p w14:paraId="00BE94C6" w14:textId="77777777" w:rsidR="00A66019" w:rsidRPr="00933152" w:rsidRDefault="00A66019" w:rsidP="00A66019">
                  <w:pPr>
                    <w:keepNext/>
                    <w:jc w:val="right"/>
                    <w:rPr>
                      <w:rFonts w:cs="Arial"/>
                      <w:szCs w:val="24"/>
                    </w:rPr>
                  </w:pPr>
                  <w:r w:rsidRPr="00933152">
                    <w:rPr>
                      <w:rFonts w:cs="Arial"/>
                      <w:szCs w:val="24"/>
                    </w:rPr>
                    <w:t>Courses</w:t>
                  </w:r>
                </w:p>
              </w:tc>
              <w:tc>
                <w:tcPr>
                  <w:tcW w:w="936" w:type="dxa"/>
                  <w:shd w:val="clear" w:color="auto" w:fill="EEECE1"/>
                  <w:vAlign w:val="bottom"/>
                </w:tcPr>
                <w:p w14:paraId="2A5E1C10" w14:textId="77777777" w:rsidR="00A66019" w:rsidRPr="00933152" w:rsidRDefault="00A66019" w:rsidP="00A66019">
                  <w:pPr>
                    <w:keepNext/>
                    <w:jc w:val="right"/>
                    <w:rPr>
                      <w:rFonts w:cs="Arial"/>
                      <w:szCs w:val="24"/>
                    </w:rPr>
                  </w:pPr>
                  <w:r w:rsidRPr="00933152">
                    <w:rPr>
                      <w:rFonts w:cs="Arial"/>
                      <w:szCs w:val="24"/>
                    </w:rPr>
                    <w:t>Per Student</w:t>
                  </w:r>
                </w:p>
              </w:tc>
              <w:tc>
                <w:tcPr>
                  <w:tcW w:w="792" w:type="dxa"/>
                  <w:shd w:val="clear" w:color="auto" w:fill="auto"/>
                  <w:vAlign w:val="bottom"/>
                </w:tcPr>
                <w:p w14:paraId="77676B20" w14:textId="77777777" w:rsidR="00A66019" w:rsidRPr="00933152" w:rsidRDefault="00A66019" w:rsidP="00A66019">
                  <w:pPr>
                    <w:keepNext/>
                    <w:rPr>
                      <w:rFonts w:cs="Arial"/>
                      <w:szCs w:val="24"/>
                    </w:rPr>
                  </w:pPr>
                  <w:r w:rsidRPr="00933152">
                    <w:rPr>
                      <w:rFonts w:cs="Arial"/>
                      <w:szCs w:val="24"/>
                    </w:rPr>
                    <w:t>Type</w:t>
                  </w:r>
                </w:p>
              </w:tc>
              <w:tc>
                <w:tcPr>
                  <w:tcW w:w="961" w:type="dxa"/>
                  <w:shd w:val="clear" w:color="auto" w:fill="auto"/>
                  <w:vAlign w:val="bottom"/>
                </w:tcPr>
                <w:p w14:paraId="5585A3BF" w14:textId="77777777" w:rsidR="00A66019" w:rsidRPr="00933152" w:rsidRDefault="00A66019" w:rsidP="00A66019">
                  <w:pPr>
                    <w:keepNext/>
                    <w:jc w:val="right"/>
                    <w:rPr>
                      <w:rFonts w:cs="Arial"/>
                      <w:szCs w:val="24"/>
                    </w:rPr>
                  </w:pPr>
                  <w:r w:rsidRPr="00933152">
                    <w:rPr>
                      <w:rFonts w:cs="Arial"/>
                      <w:szCs w:val="24"/>
                    </w:rPr>
                    <w:t>Courses</w:t>
                  </w:r>
                </w:p>
              </w:tc>
              <w:tc>
                <w:tcPr>
                  <w:tcW w:w="1032" w:type="dxa"/>
                  <w:shd w:val="clear" w:color="auto" w:fill="auto"/>
                  <w:vAlign w:val="bottom"/>
                </w:tcPr>
                <w:p w14:paraId="02E7B506" w14:textId="77777777" w:rsidR="00A66019" w:rsidRPr="00933152" w:rsidRDefault="00A66019" w:rsidP="00A66019">
                  <w:pPr>
                    <w:keepNext/>
                    <w:jc w:val="right"/>
                    <w:rPr>
                      <w:rFonts w:cs="Arial"/>
                      <w:szCs w:val="24"/>
                    </w:rPr>
                  </w:pPr>
                  <w:r w:rsidRPr="00933152">
                    <w:rPr>
                      <w:rFonts w:cs="Arial"/>
                      <w:szCs w:val="24"/>
                    </w:rPr>
                    <w:t>Per Student</w:t>
                  </w:r>
                </w:p>
              </w:tc>
              <w:tc>
                <w:tcPr>
                  <w:tcW w:w="792" w:type="dxa"/>
                  <w:shd w:val="clear" w:color="auto" w:fill="EEECE1"/>
                  <w:vAlign w:val="bottom"/>
                </w:tcPr>
                <w:p w14:paraId="0E186A78" w14:textId="77777777" w:rsidR="00A66019" w:rsidRPr="00933152" w:rsidRDefault="00A66019" w:rsidP="00A66019">
                  <w:pPr>
                    <w:keepNext/>
                    <w:rPr>
                      <w:rFonts w:cs="Arial"/>
                      <w:szCs w:val="24"/>
                    </w:rPr>
                  </w:pPr>
                  <w:r w:rsidRPr="00933152">
                    <w:rPr>
                      <w:rFonts w:cs="Arial"/>
                      <w:szCs w:val="24"/>
                    </w:rPr>
                    <w:t>Type</w:t>
                  </w:r>
                </w:p>
              </w:tc>
              <w:tc>
                <w:tcPr>
                  <w:tcW w:w="961" w:type="dxa"/>
                  <w:shd w:val="clear" w:color="auto" w:fill="EEECE1"/>
                  <w:vAlign w:val="bottom"/>
                </w:tcPr>
                <w:p w14:paraId="59B9356B" w14:textId="77777777" w:rsidR="00A66019" w:rsidRPr="00933152" w:rsidRDefault="00A66019" w:rsidP="00A66019">
                  <w:pPr>
                    <w:keepNext/>
                    <w:jc w:val="right"/>
                    <w:rPr>
                      <w:rFonts w:cs="Arial"/>
                      <w:szCs w:val="24"/>
                    </w:rPr>
                  </w:pPr>
                  <w:r w:rsidRPr="00933152">
                    <w:rPr>
                      <w:rFonts w:cs="Arial"/>
                      <w:szCs w:val="24"/>
                    </w:rPr>
                    <w:t>Courses</w:t>
                  </w:r>
                </w:p>
              </w:tc>
              <w:tc>
                <w:tcPr>
                  <w:tcW w:w="1241" w:type="dxa"/>
                  <w:shd w:val="clear" w:color="auto" w:fill="EEECE1"/>
                  <w:vAlign w:val="bottom"/>
                </w:tcPr>
                <w:p w14:paraId="314320B7" w14:textId="77777777" w:rsidR="00A66019" w:rsidRPr="00933152" w:rsidRDefault="00A66019" w:rsidP="00A66019">
                  <w:pPr>
                    <w:keepNext/>
                    <w:jc w:val="right"/>
                    <w:rPr>
                      <w:rFonts w:cs="Arial"/>
                      <w:szCs w:val="24"/>
                    </w:rPr>
                  </w:pPr>
                  <w:r w:rsidRPr="00933152">
                    <w:rPr>
                      <w:rFonts w:cs="Arial"/>
                      <w:szCs w:val="24"/>
                    </w:rPr>
                    <w:t>Per Student</w:t>
                  </w:r>
                </w:p>
              </w:tc>
            </w:tr>
            <w:tr w:rsidR="00A66019" w:rsidRPr="008D45E1" w14:paraId="55E72FA2" w14:textId="77777777" w:rsidTr="00600143">
              <w:tc>
                <w:tcPr>
                  <w:tcW w:w="792" w:type="dxa"/>
                  <w:shd w:val="clear" w:color="auto" w:fill="EEECE1"/>
                </w:tcPr>
                <w:p w14:paraId="0CB26926" w14:textId="77777777" w:rsidR="00A66019" w:rsidRPr="00933152" w:rsidRDefault="00A66019" w:rsidP="00A66019">
                  <w:pPr>
                    <w:rPr>
                      <w:rFonts w:cs="Arial"/>
                      <w:szCs w:val="24"/>
                    </w:rPr>
                  </w:pPr>
                  <w:r w:rsidRPr="00933152">
                    <w:rPr>
                      <w:rFonts w:cs="Arial"/>
                      <w:szCs w:val="24"/>
                    </w:rPr>
                    <w:t>F</w:t>
                  </w:r>
                </w:p>
              </w:tc>
              <w:tc>
                <w:tcPr>
                  <w:tcW w:w="961" w:type="dxa"/>
                  <w:shd w:val="clear" w:color="auto" w:fill="EEECE1"/>
                </w:tcPr>
                <w:p w14:paraId="3378961F" w14:textId="77777777" w:rsidR="00A66019" w:rsidRPr="00933152" w:rsidRDefault="00A66019" w:rsidP="00A66019">
                  <w:pPr>
                    <w:jc w:val="right"/>
                    <w:rPr>
                      <w:rFonts w:cs="Arial"/>
                      <w:szCs w:val="24"/>
                    </w:rPr>
                  </w:pPr>
                  <w:r w:rsidRPr="00933152">
                    <w:rPr>
                      <w:rFonts w:cs="Arial"/>
                      <w:szCs w:val="24"/>
                    </w:rPr>
                    <w:t>1,203</w:t>
                  </w:r>
                </w:p>
              </w:tc>
              <w:tc>
                <w:tcPr>
                  <w:tcW w:w="936" w:type="dxa"/>
                  <w:shd w:val="clear" w:color="auto" w:fill="EEECE1"/>
                </w:tcPr>
                <w:p w14:paraId="3423E965" w14:textId="77777777" w:rsidR="00A66019" w:rsidRPr="00933152" w:rsidRDefault="00A66019" w:rsidP="00A66019">
                  <w:pPr>
                    <w:jc w:val="right"/>
                    <w:rPr>
                      <w:rFonts w:cs="Arial"/>
                      <w:szCs w:val="24"/>
                    </w:rPr>
                  </w:pPr>
                  <w:r w:rsidRPr="00933152">
                    <w:rPr>
                      <w:rFonts w:cs="Arial"/>
                      <w:szCs w:val="24"/>
                    </w:rPr>
                    <w:t>4.00</w:t>
                  </w:r>
                </w:p>
              </w:tc>
              <w:tc>
                <w:tcPr>
                  <w:tcW w:w="792" w:type="dxa"/>
                  <w:shd w:val="clear" w:color="auto" w:fill="auto"/>
                </w:tcPr>
                <w:p w14:paraId="60BDA221" w14:textId="77777777" w:rsidR="00A66019" w:rsidRPr="00933152" w:rsidRDefault="00A66019" w:rsidP="00A66019">
                  <w:pPr>
                    <w:rPr>
                      <w:rFonts w:cs="Arial"/>
                      <w:szCs w:val="24"/>
                    </w:rPr>
                  </w:pPr>
                  <w:r w:rsidRPr="00933152">
                    <w:rPr>
                      <w:rFonts w:cs="Arial"/>
                      <w:szCs w:val="24"/>
                    </w:rPr>
                    <w:t>F</w:t>
                  </w:r>
                </w:p>
              </w:tc>
              <w:tc>
                <w:tcPr>
                  <w:tcW w:w="961" w:type="dxa"/>
                  <w:shd w:val="clear" w:color="auto" w:fill="auto"/>
                </w:tcPr>
                <w:p w14:paraId="6601AF0B" w14:textId="77777777" w:rsidR="00A66019" w:rsidRPr="00933152" w:rsidRDefault="00A66019" w:rsidP="00A66019">
                  <w:pPr>
                    <w:jc w:val="right"/>
                    <w:rPr>
                      <w:rFonts w:cs="Arial"/>
                      <w:szCs w:val="24"/>
                    </w:rPr>
                  </w:pPr>
                  <w:r w:rsidRPr="00933152">
                    <w:rPr>
                      <w:rFonts w:cs="Arial"/>
                      <w:szCs w:val="24"/>
                    </w:rPr>
                    <w:t>1,534</w:t>
                  </w:r>
                </w:p>
              </w:tc>
              <w:tc>
                <w:tcPr>
                  <w:tcW w:w="1032" w:type="dxa"/>
                  <w:shd w:val="clear" w:color="auto" w:fill="auto"/>
                </w:tcPr>
                <w:p w14:paraId="69A517C7" w14:textId="77777777" w:rsidR="00A66019" w:rsidRPr="00933152" w:rsidRDefault="00A66019" w:rsidP="00A66019">
                  <w:pPr>
                    <w:jc w:val="right"/>
                    <w:rPr>
                      <w:rFonts w:cs="Arial"/>
                      <w:szCs w:val="24"/>
                    </w:rPr>
                  </w:pPr>
                  <w:r w:rsidRPr="00933152">
                    <w:rPr>
                      <w:rFonts w:cs="Arial"/>
                      <w:szCs w:val="24"/>
                    </w:rPr>
                    <w:t>4.54</w:t>
                  </w:r>
                </w:p>
              </w:tc>
              <w:tc>
                <w:tcPr>
                  <w:tcW w:w="792" w:type="dxa"/>
                  <w:shd w:val="clear" w:color="auto" w:fill="EEECE1"/>
                </w:tcPr>
                <w:p w14:paraId="7D8E24E0" w14:textId="77777777" w:rsidR="00A66019" w:rsidRPr="00933152" w:rsidRDefault="00A66019" w:rsidP="00A66019">
                  <w:pPr>
                    <w:rPr>
                      <w:rFonts w:cs="Arial"/>
                      <w:szCs w:val="24"/>
                    </w:rPr>
                  </w:pPr>
                  <w:r w:rsidRPr="00933152">
                    <w:rPr>
                      <w:rFonts w:cs="Arial"/>
                      <w:szCs w:val="24"/>
                    </w:rPr>
                    <w:t>F</w:t>
                  </w:r>
                </w:p>
              </w:tc>
              <w:tc>
                <w:tcPr>
                  <w:tcW w:w="961" w:type="dxa"/>
                  <w:shd w:val="clear" w:color="auto" w:fill="EEECE1"/>
                </w:tcPr>
                <w:p w14:paraId="5129A1AE" w14:textId="77777777" w:rsidR="00A66019" w:rsidRPr="00933152" w:rsidRDefault="00A66019" w:rsidP="00A66019">
                  <w:pPr>
                    <w:jc w:val="right"/>
                    <w:rPr>
                      <w:rFonts w:cs="Arial"/>
                      <w:szCs w:val="24"/>
                    </w:rPr>
                  </w:pPr>
                  <w:r w:rsidRPr="00933152">
                    <w:rPr>
                      <w:rFonts w:cs="Arial"/>
                      <w:szCs w:val="24"/>
                    </w:rPr>
                    <w:t>1,516</w:t>
                  </w:r>
                </w:p>
              </w:tc>
              <w:tc>
                <w:tcPr>
                  <w:tcW w:w="1241" w:type="dxa"/>
                  <w:shd w:val="clear" w:color="auto" w:fill="EEECE1"/>
                </w:tcPr>
                <w:p w14:paraId="452C773D" w14:textId="77777777" w:rsidR="00A66019" w:rsidRPr="00933152" w:rsidRDefault="00A66019" w:rsidP="00A66019">
                  <w:pPr>
                    <w:jc w:val="right"/>
                    <w:rPr>
                      <w:rFonts w:cs="Arial"/>
                      <w:szCs w:val="24"/>
                    </w:rPr>
                  </w:pPr>
                  <w:r w:rsidRPr="00933152">
                    <w:rPr>
                      <w:rFonts w:cs="Arial"/>
                      <w:szCs w:val="24"/>
                    </w:rPr>
                    <w:t>4.77</w:t>
                  </w:r>
                </w:p>
              </w:tc>
            </w:tr>
            <w:tr w:rsidR="00A66019" w:rsidRPr="008D45E1" w14:paraId="35C8A01C" w14:textId="77777777" w:rsidTr="00600143">
              <w:tc>
                <w:tcPr>
                  <w:tcW w:w="792" w:type="dxa"/>
                  <w:shd w:val="clear" w:color="auto" w:fill="EEECE1"/>
                </w:tcPr>
                <w:p w14:paraId="211B36D7" w14:textId="77777777" w:rsidR="00A66019" w:rsidRPr="00933152" w:rsidRDefault="00A66019" w:rsidP="00A66019">
                  <w:pPr>
                    <w:rPr>
                      <w:rFonts w:cs="Arial"/>
                      <w:szCs w:val="24"/>
                    </w:rPr>
                  </w:pPr>
                  <w:r w:rsidRPr="00933152">
                    <w:rPr>
                      <w:rFonts w:cs="Arial"/>
                      <w:szCs w:val="24"/>
                    </w:rPr>
                    <w:t>I</w:t>
                  </w:r>
                </w:p>
              </w:tc>
              <w:tc>
                <w:tcPr>
                  <w:tcW w:w="961" w:type="dxa"/>
                  <w:shd w:val="clear" w:color="auto" w:fill="EEECE1"/>
                </w:tcPr>
                <w:p w14:paraId="2C13998B" w14:textId="77777777" w:rsidR="00A66019" w:rsidRPr="00933152" w:rsidRDefault="00A66019" w:rsidP="00A66019">
                  <w:pPr>
                    <w:jc w:val="right"/>
                    <w:rPr>
                      <w:rFonts w:cs="Arial"/>
                      <w:szCs w:val="24"/>
                    </w:rPr>
                  </w:pPr>
                  <w:r w:rsidRPr="00933152">
                    <w:rPr>
                      <w:rFonts w:cs="Arial"/>
                      <w:szCs w:val="24"/>
                    </w:rPr>
                    <w:t>1,451</w:t>
                  </w:r>
                </w:p>
              </w:tc>
              <w:tc>
                <w:tcPr>
                  <w:tcW w:w="936" w:type="dxa"/>
                  <w:shd w:val="clear" w:color="auto" w:fill="EEECE1"/>
                </w:tcPr>
                <w:p w14:paraId="06F62F42" w14:textId="77777777" w:rsidR="00A66019" w:rsidRPr="00933152" w:rsidRDefault="00A66019" w:rsidP="00A66019">
                  <w:pPr>
                    <w:jc w:val="right"/>
                    <w:rPr>
                      <w:rFonts w:cs="Arial"/>
                      <w:szCs w:val="24"/>
                    </w:rPr>
                  </w:pPr>
                  <w:r w:rsidRPr="00933152">
                    <w:rPr>
                      <w:rFonts w:cs="Arial"/>
                      <w:szCs w:val="24"/>
                    </w:rPr>
                    <w:t>4.82</w:t>
                  </w:r>
                </w:p>
              </w:tc>
              <w:tc>
                <w:tcPr>
                  <w:tcW w:w="792" w:type="dxa"/>
                  <w:shd w:val="clear" w:color="auto" w:fill="auto"/>
                </w:tcPr>
                <w:p w14:paraId="2D7FAE93" w14:textId="77777777" w:rsidR="00A66019" w:rsidRPr="00933152" w:rsidRDefault="00A66019" w:rsidP="00A66019">
                  <w:pPr>
                    <w:rPr>
                      <w:rFonts w:cs="Arial"/>
                      <w:szCs w:val="24"/>
                    </w:rPr>
                  </w:pPr>
                  <w:r w:rsidRPr="00933152">
                    <w:rPr>
                      <w:rFonts w:cs="Arial"/>
                      <w:szCs w:val="24"/>
                    </w:rPr>
                    <w:t>I</w:t>
                  </w:r>
                </w:p>
              </w:tc>
              <w:tc>
                <w:tcPr>
                  <w:tcW w:w="961" w:type="dxa"/>
                  <w:shd w:val="clear" w:color="auto" w:fill="auto"/>
                </w:tcPr>
                <w:p w14:paraId="16590EB4" w14:textId="77777777" w:rsidR="00A66019" w:rsidRPr="00933152" w:rsidRDefault="00A66019" w:rsidP="00A66019">
                  <w:pPr>
                    <w:jc w:val="right"/>
                    <w:rPr>
                      <w:rFonts w:cs="Arial"/>
                      <w:szCs w:val="24"/>
                    </w:rPr>
                  </w:pPr>
                  <w:r w:rsidRPr="00933152">
                    <w:rPr>
                      <w:rFonts w:cs="Arial"/>
                      <w:szCs w:val="24"/>
                    </w:rPr>
                    <w:t>2,274</w:t>
                  </w:r>
                </w:p>
              </w:tc>
              <w:tc>
                <w:tcPr>
                  <w:tcW w:w="1032" w:type="dxa"/>
                  <w:shd w:val="clear" w:color="auto" w:fill="auto"/>
                </w:tcPr>
                <w:p w14:paraId="7195C5F0" w14:textId="77777777" w:rsidR="00A66019" w:rsidRPr="00933152" w:rsidRDefault="00A66019" w:rsidP="00A66019">
                  <w:pPr>
                    <w:jc w:val="right"/>
                    <w:rPr>
                      <w:rFonts w:cs="Arial"/>
                      <w:szCs w:val="24"/>
                    </w:rPr>
                  </w:pPr>
                  <w:r w:rsidRPr="00933152">
                    <w:rPr>
                      <w:rFonts w:cs="Arial"/>
                      <w:szCs w:val="24"/>
                    </w:rPr>
                    <w:t>6.73</w:t>
                  </w:r>
                </w:p>
              </w:tc>
              <w:tc>
                <w:tcPr>
                  <w:tcW w:w="792" w:type="dxa"/>
                  <w:shd w:val="clear" w:color="auto" w:fill="EEECE1"/>
                </w:tcPr>
                <w:p w14:paraId="19D76B05" w14:textId="77777777" w:rsidR="00A66019" w:rsidRPr="00933152" w:rsidRDefault="00A66019" w:rsidP="00A66019">
                  <w:pPr>
                    <w:rPr>
                      <w:rFonts w:cs="Arial"/>
                      <w:szCs w:val="24"/>
                    </w:rPr>
                  </w:pPr>
                  <w:r w:rsidRPr="00933152">
                    <w:rPr>
                      <w:rFonts w:cs="Arial"/>
                      <w:szCs w:val="24"/>
                    </w:rPr>
                    <w:t>I</w:t>
                  </w:r>
                </w:p>
              </w:tc>
              <w:tc>
                <w:tcPr>
                  <w:tcW w:w="961" w:type="dxa"/>
                  <w:shd w:val="clear" w:color="auto" w:fill="EEECE1"/>
                </w:tcPr>
                <w:p w14:paraId="783168C4" w14:textId="77777777" w:rsidR="00A66019" w:rsidRPr="00933152" w:rsidRDefault="00A66019" w:rsidP="00A66019">
                  <w:pPr>
                    <w:jc w:val="right"/>
                    <w:rPr>
                      <w:rFonts w:cs="Arial"/>
                      <w:szCs w:val="24"/>
                    </w:rPr>
                  </w:pPr>
                  <w:r w:rsidRPr="00933152">
                    <w:rPr>
                      <w:rFonts w:cs="Arial"/>
                      <w:szCs w:val="24"/>
                    </w:rPr>
                    <w:t>2,147</w:t>
                  </w:r>
                </w:p>
              </w:tc>
              <w:tc>
                <w:tcPr>
                  <w:tcW w:w="1241" w:type="dxa"/>
                  <w:shd w:val="clear" w:color="auto" w:fill="EEECE1"/>
                </w:tcPr>
                <w:p w14:paraId="1A8D321F" w14:textId="77777777" w:rsidR="00A66019" w:rsidRPr="00933152" w:rsidRDefault="00A66019" w:rsidP="00A66019">
                  <w:pPr>
                    <w:jc w:val="right"/>
                    <w:rPr>
                      <w:rFonts w:cs="Arial"/>
                      <w:szCs w:val="24"/>
                    </w:rPr>
                  </w:pPr>
                  <w:r w:rsidRPr="00933152">
                    <w:rPr>
                      <w:rFonts w:cs="Arial"/>
                      <w:szCs w:val="24"/>
                    </w:rPr>
                    <w:t>6.75</w:t>
                  </w:r>
                </w:p>
              </w:tc>
            </w:tr>
            <w:tr w:rsidR="00A66019" w:rsidRPr="008D45E1" w14:paraId="4CE248B0" w14:textId="77777777" w:rsidTr="00600143">
              <w:tc>
                <w:tcPr>
                  <w:tcW w:w="792" w:type="dxa"/>
                  <w:shd w:val="clear" w:color="auto" w:fill="EEECE1"/>
                </w:tcPr>
                <w:p w14:paraId="6CB32BA2" w14:textId="77777777" w:rsidR="00A66019" w:rsidRPr="00933152" w:rsidRDefault="00A66019" w:rsidP="00A66019">
                  <w:pPr>
                    <w:rPr>
                      <w:rFonts w:cs="Arial"/>
                      <w:szCs w:val="24"/>
                    </w:rPr>
                  </w:pPr>
                  <w:r w:rsidRPr="00933152">
                    <w:rPr>
                      <w:rFonts w:cs="Arial"/>
                      <w:szCs w:val="24"/>
                    </w:rPr>
                    <w:t>S</w:t>
                  </w:r>
                </w:p>
              </w:tc>
              <w:tc>
                <w:tcPr>
                  <w:tcW w:w="961" w:type="dxa"/>
                  <w:shd w:val="clear" w:color="auto" w:fill="EEECE1"/>
                </w:tcPr>
                <w:p w14:paraId="309DE169" w14:textId="77777777" w:rsidR="00A66019" w:rsidRPr="00933152" w:rsidRDefault="00A66019" w:rsidP="00A66019">
                  <w:pPr>
                    <w:jc w:val="right"/>
                    <w:rPr>
                      <w:rFonts w:cs="Arial"/>
                      <w:szCs w:val="24"/>
                    </w:rPr>
                  </w:pPr>
                  <w:r w:rsidRPr="00933152">
                    <w:rPr>
                      <w:rFonts w:cs="Arial"/>
                      <w:szCs w:val="24"/>
                    </w:rPr>
                    <w:t>3,730</w:t>
                  </w:r>
                </w:p>
              </w:tc>
              <w:tc>
                <w:tcPr>
                  <w:tcW w:w="936" w:type="dxa"/>
                  <w:shd w:val="clear" w:color="auto" w:fill="EEECE1"/>
                </w:tcPr>
                <w:p w14:paraId="33DD40DA" w14:textId="77777777" w:rsidR="00A66019" w:rsidRPr="00933152" w:rsidRDefault="00A66019" w:rsidP="00A66019">
                  <w:pPr>
                    <w:jc w:val="right"/>
                    <w:rPr>
                      <w:rFonts w:cs="Arial"/>
                      <w:szCs w:val="24"/>
                    </w:rPr>
                  </w:pPr>
                  <w:r w:rsidRPr="00933152">
                    <w:rPr>
                      <w:rFonts w:cs="Arial"/>
                      <w:szCs w:val="24"/>
                    </w:rPr>
                    <w:t>12.39</w:t>
                  </w:r>
                </w:p>
              </w:tc>
              <w:tc>
                <w:tcPr>
                  <w:tcW w:w="792" w:type="dxa"/>
                  <w:shd w:val="clear" w:color="auto" w:fill="auto"/>
                </w:tcPr>
                <w:p w14:paraId="4A0DBE84" w14:textId="77777777" w:rsidR="00A66019" w:rsidRPr="00933152" w:rsidRDefault="00A66019" w:rsidP="00A66019">
                  <w:pPr>
                    <w:rPr>
                      <w:rFonts w:cs="Arial"/>
                      <w:szCs w:val="24"/>
                    </w:rPr>
                  </w:pPr>
                  <w:r w:rsidRPr="00933152">
                    <w:rPr>
                      <w:rFonts w:cs="Arial"/>
                      <w:szCs w:val="24"/>
                    </w:rPr>
                    <w:t>S</w:t>
                  </w:r>
                </w:p>
              </w:tc>
              <w:tc>
                <w:tcPr>
                  <w:tcW w:w="961" w:type="dxa"/>
                  <w:shd w:val="clear" w:color="auto" w:fill="auto"/>
                </w:tcPr>
                <w:p w14:paraId="0C52A732" w14:textId="77777777" w:rsidR="00A66019" w:rsidRPr="00933152" w:rsidRDefault="00A66019" w:rsidP="00A66019">
                  <w:pPr>
                    <w:jc w:val="right"/>
                    <w:rPr>
                      <w:rFonts w:cs="Arial"/>
                      <w:szCs w:val="24"/>
                    </w:rPr>
                  </w:pPr>
                  <w:r w:rsidRPr="00933152">
                    <w:rPr>
                      <w:rFonts w:cs="Arial"/>
                      <w:szCs w:val="24"/>
                    </w:rPr>
                    <w:t>4,606</w:t>
                  </w:r>
                </w:p>
              </w:tc>
              <w:tc>
                <w:tcPr>
                  <w:tcW w:w="1032" w:type="dxa"/>
                  <w:shd w:val="clear" w:color="auto" w:fill="auto"/>
                </w:tcPr>
                <w:p w14:paraId="59E4E974" w14:textId="77777777" w:rsidR="00A66019" w:rsidRPr="00933152" w:rsidRDefault="00A66019" w:rsidP="00A66019">
                  <w:pPr>
                    <w:jc w:val="right"/>
                    <w:rPr>
                      <w:rFonts w:cs="Arial"/>
                      <w:szCs w:val="24"/>
                    </w:rPr>
                  </w:pPr>
                  <w:r w:rsidRPr="00933152">
                    <w:rPr>
                      <w:rFonts w:cs="Arial"/>
                      <w:szCs w:val="24"/>
                    </w:rPr>
                    <w:t>13.63</w:t>
                  </w:r>
                </w:p>
              </w:tc>
              <w:tc>
                <w:tcPr>
                  <w:tcW w:w="792" w:type="dxa"/>
                  <w:shd w:val="clear" w:color="auto" w:fill="EEECE1"/>
                </w:tcPr>
                <w:p w14:paraId="3DDCDB23" w14:textId="77777777" w:rsidR="00A66019" w:rsidRPr="00933152" w:rsidRDefault="00A66019" w:rsidP="00A66019">
                  <w:pPr>
                    <w:rPr>
                      <w:rFonts w:cs="Arial"/>
                      <w:szCs w:val="24"/>
                    </w:rPr>
                  </w:pPr>
                  <w:r w:rsidRPr="00933152">
                    <w:rPr>
                      <w:rFonts w:cs="Arial"/>
                      <w:szCs w:val="24"/>
                    </w:rPr>
                    <w:t>S</w:t>
                  </w:r>
                </w:p>
              </w:tc>
              <w:tc>
                <w:tcPr>
                  <w:tcW w:w="961" w:type="dxa"/>
                  <w:shd w:val="clear" w:color="auto" w:fill="EEECE1"/>
                </w:tcPr>
                <w:p w14:paraId="5CCF98F1" w14:textId="77777777" w:rsidR="00A66019" w:rsidRPr="00933152" w:rsidRDefault="00A66019" w:rsidP="00A66019">
                  <w:pPr>
                    <w:jc w:val="right"/>
                    <w:rPr>
                      <w:rFonts w:cs="Arial"/>
                      <w:szCs w:val="24"/>
                    </w:rPr>
                  </w:pPr>
                  <w:r w:rsidRPr="00933152">
                    <w:rPr>
                      <w:rFonts w:cs="Arial"/>
                      <w:szCs w:val="24"/>
                    </w:rPr>
                    <w:t>4,649</w:t>
                  </w:r>
                </w:p>
              </w:tc>
              <w:tc>
                <w:tcPr>
                  <w:tcW w:w="1241" w:type="dxa"/>
                  <w:shd w:val="clear" w:color="auto" w:fill="EEECE1"/>
                </w:tcPr>
                <w:p w14:paraId="232B3D7A" w14:textId="77777777" w:rsidR="00A66019" w:rsidRPr="00933152" w:rsidRDefault="00A66019" w:rsidP="00A66019">
                  <w:pPr>
                    <w:jc w:val="right"/>
                    <w:rPr>
                      <w:rFonts w:cs="Arial"/>
                      <w:szCs w:val="24"/>
                    </w:rPr>
                  </w:pPr>
                  <w:r w:rsidRPr="00933152">
                    <w:rPr>
                      <w:rFonts w:cs="Arial"/>
                      <w:szCs w:val="24"/>
                    </w:rPr>
                    <w:t>14.62</w:t>
                  </w:r>
                </w:p>
              </w:tc>
            </w:tr>
            <w:tr w:rsidR="00A66019" w:rsidRPr="008D45E1" w14:paraId="0F9D307B" w14:textId="77777777" w:rsidTr="00600143">
              <w:tc>
                <w:tcPr>
                  <w:tcW w:w="792" w:type="dxa"/>
                  <w:shd w:val="clear" w:color="auto" w:fill="EEECE1"/>
                </w:tcPr>
                <w:p w14:paraId="200B59D6" w14:textId="77777777" w:rsidR="00A66019" w:rsidRPr="00933152" w:rsidRDefault="00A66019" w:rsidP="00A66019">
                  <w:pPr>
                    <w:rPr>
                      <w:rFonts w:cs="Arial"/>
                      <w:szCs w:val="24"/>
                    </w:rPr>
                  </w:pPr>
                  <w:r w:rsidRPr="00933152">
                    <w:rPr>
                      <w:rFonts w:cs="Arial"/>
                      <w:szCs w:val="24"/>
                    </w:rPr>
                    <w:t>H</w:t>
                  </w:r>
                </w:p>
              </w:tc>
              <w:tc>
                <w:tcPr>
                  <w:tcW w:w="961" w:type="dxa"/>
                  <w:shd w:val="clear" w:color="auto" w:fill="EEECE1"/>
                </w:tcPr>
                <w:p w14:paraId="6E822EAC" w14:textId="77777777" w:rsidR="00A66019" w:rsidRPr="00933152" w:rsidRDefault="00A66019" w:rsidP="00A66019">
                  <w:pPr>
                    <w:jc w:val="right"/>
                    <w:rPr>
                      <w:rFonts w:cs="Arial"/>
                      <w:szCs w:val="24"/>
                    </w:rPr>
                  </w:pPr>
                  <w:r w:rsidRPr="00933152">
                    <w:rPr>
                      <w:rFonts w:cs="Arial"/>
                      <w:szCs w:val="24"/>
                    </w:rPr>
                    <w:t>2,235</w:t>
                  </w:r>
                </w:p>
              </w:tc>
              <w:tc>
                <w:tcPr>
                  <w:tcW w:w="936" w:type="dxa"/>
                  <w:shd w:val="clear" w:color="auto" w:fill="EEECE1"/>
                </w:tcPr>
                <w:p w14:paraId="134564B6" w14:textId="77777777" w:rsidR="00A66019" w:rsidRPr="00933152" w:rsidRDefault="00A66019" w:rsidP="00A66019">
                  <w:pPr>
                    <w:jc w:val="right"/>
                    <w:rPr>
                      <w:rFonts w:cs="Arial"/>
                      <w:szCs w:val="24"/>
                    </w:rPr>
                  </w:pPr>
                  <w:r w:rsidRPr="00933152">
                    <w:rPr>
                      <w:rFonts w:cs="Arial"/>
                      <w:szCs w:val="24"/>
                    </w:rPr>
                    <w:t>7.43</w:t>
                  </w:r>
                </w:p>
              </w:tc>
              <w:tc>
                <w:tcPr>
                  <w:tcW w:w="792" w:type="dxa"/>
                  <w:shd w:val="clear" w:color="auto" w:fill="auto"/>
                </w:tcPr>
                <w:p w14:paraId="68356711" w14:textId="77777777" w:rsidR="00A66019" w:rsidRPr="00933152" w:rsidRDefault="00A66019" w:rsidP="00A66019">
                  <w:pPr>
                    <w:rPr>
                      <w:rFonts w:cs="Arial"/>
                      <w:szCs w:val="24"/>
                    </w:rPr>
                  </w:pPr>
                  <w:r w:rsidRPr="00933152">
                    <w:rPr>
                      <w:rFonts w:cs="Arial"/>
                      <w:szCs w:val="24"/>
                    </w:rPr>
                    <w:t>H</w:t>
                  </w:r>
                </w:p>
              </w:tc>
              <w:tc>
                <w:tcPr>
                  <w:tcW w:w="961" w:type="dxa"/>
                  <w:shd w:val="clear" w:color="auto" w:fill="auto"/>
                </w:tcPr>
                <w:p w14:paraId="63BFE5EB" w14:textId="77777777" w:rsidR="00A66019" w:rsidRPr="00933152" w:rsidRDefault="00A66019" w:rsidP="00A66019">
                  <w:pPr>
                    <w:jc w:val="right"/>
                    <w:rPr>
                      <w:rFonts w:cs="Arial"/>
                      <w:szCs w:val="24"/>
                    </w:rPr>
                  </w:pPr>
                  <w:r w:rsidRPr="00933152">
                    <w:rPr>
                      <w:rFonts w:cs="Arial"/>
                      <w:szCs w:val="24"/>
                    </w:rPr>
                    <w:t>3,357</w:t>
                  </w:r>
                </w:p>
              </w:tc>
              <w:tc>
                <w:tcPr>
                  <w:tcW w:w="1032" w:type="dxa"/>
                  <w:shd w:val="clear" w:color="auto" w:fill="auto"/>
                </w:tcPr>
                <w:p w14:paraId="53E4540B" w14:textId="77777777" w:rsidR="00A66019" w:rsidRPr="00933152" w:rsidRDefault="00A66019" w:rsidP="00A66019">
                  <w:pPr>
                    <w:jc w:val="right"/>
                    <w:rPr>
                      <w:rFonts w:cs="Arial"/>
                      <w:szCs w:val="24"/>
                    </w:rPr>
                  </w:pPr>
                  <w:r w:rsidRPr="00933152">
                    <w:rPr>
                      <w:rFonts w:cs="Arial"/>
                      <w:szCs w:val="24"/>
                    </w:rPr>
                    <w:t>9.93</w:t>
                  </w:r>
                </w:p>
              </w:tc>
              <w:tc>
                <w:tcPr>
                  <w:tcW w:w="792" w:type="dxa"/>
                  <w:shd w:val="clear" w:color="auto" w:fill="EEECE1"/>
                </w:tcPr>
                <w:p w14:paraId="79790482" w14:textId="77777777" w:rsidR="00A66019" w:rsidRPr="00933152" w:rsidRDefault="00A66019" w:rsidP="00A66019">
                  <w:pPr>
                    <w:rPr>
                      <w:rFonts w:cs="Arial"/>
                      <w:szCs w:val="24"/>
                    </w:rPr>
                  </w:pPr>
                  <w:r w:rsidRPr="00933152">
                    <w:rPr>
                      <w:rFonts w:cs="Arial"/>
                      <w:szCs w:val="24"/>
                    </w:rPr>
                    <w:t>H</w:t>
                  </w:r>
                </w:p>
              </w:tc>
              <w:tc>
                <w:tcPr>
                  <w:tcW w:w="961" w:type="dxa"/>
                  <w:shd w:val="clear" w:color="auto" w:fill="EEECE1"/>
                </w:tcPr>
                <w:p w14:paraId="32AED940" w14:textId="77777777" w:rsidR="00A66019" w:rsidRPr="00933152" w:rsidRDefault="00A66019" w:rsidP="00A66019">
                  <w:pPr>
                    <w:jc w:val="right"/>
                    <w:rPr>
                      <w:rFonts w:cs="Arial"/>
                      <w:szCs w:val="24"/>
                    </w:rPr>
                  </w:pPr>
                  <w:r w:rsidRPr="00933152">
                    <w:rPr>
                      <w:rFonts w:cs="Arial"/>
                      <w:szCs w:val="24"/>
                    </w:rPr>
                    <w:t>3,265</w:t>
                  </w:r>
                </w:p>
              </w:tc>
              <w:tc>
                <w:tcPr>
                  <w:tcW w:w="1241" w:type="dxa"/>
                  <w:shd w:val="clear" w:color="auto" w:fill="EEECE1"/>
                </w:tcPr>
                <w:p w14:paraId="78D146FC" w14:textId="77777777" w:rsidR="00A66019" w:rsidRPr="00933152" w:rsidRDefault="00A66019" w:rsidP="00A66019">
                  <w:pPr>
                    <w:jc w:val="right"/>
                    <w:rPr>
                      <w:rFonts w:cs="Arial"/>
                      <w:szCs w:val="24"/>
                    </w:rPr>
                  </w:pPr>
                  <w:r w:rsidRPr="00933152">
                    <w:rPr>
                      <w:rFonts w:cs="Arial"/>
                      <w:szCs w:val="24"/>
                    </w:rPr>
                    <w:t>10.27</w:t>
                  </w:r>
                </w:p>
              </w:tc>
            </w:tr>
            <w:tr w:rsidR="00A66019" w:rsidRPr="008D45E1" w14:paraId="71A4A26E" w14:textId="77777777" w:rsidTr="00600143">
              <w:tc>
                <w:tcPr>
                  <w:tcW w:w="792" w:type="dxa"/>
                  <w:shd w:val="clear" w:color="auto" w:fill="EEECE1"/>
                </w:tcPr>
                <w:p w14:paraId="1C5986C6" w14:textId="77777777" w:rsidR="00A66019" w:rsidRPr="00933152" w:rsidRDefault="00A66019" w:rsidP="00A66019">
                  <w:pPr>
                    <w:rPr>
                      <w:rFonts w:cs="Arial"/>
                      <w:szCs w:val="24"/>
                    </w:rPr>
                  </w:pPr>
                  <w:r w:rsidRPr="00933152">
                    <w:rPr>
                      <w:rFonts w:cs="Arial"/>
                      <w:szCs w:val="24"/>
                    </w:rPr>
                    <w:t>N</w:t>
                  </w:r>
                </w:p>
              </w:tc>
              <w:tc>
                <w:tcPr>
                  <w:tcW w:w="961" w:type="dxa"/>
                  <w:shd w:val="clear" w:color="auto" w:fill="EEECE1"/>
                </w:tcPr>
                <w:p w14:paraId="3194143A" w14:textId="77777777" w:rsidR="00A66019" w:rsidRPr="00933152" w:rsidRDefault="00A66019" w:rsidP="00A66019">
                  <w:pPr>
                    <w:jc w:val="right"/>
                    <w:rPr>
                      <w:rFonts w:cs="Arial"/>
                      <w:szCs w:val="24"/>
                    </w:rPr>
                  </w:pPr>
                  <w:r w:rsidRPr="00933152">
                    <w:rPr>
                      <w:rFonts w:cs="Arial"/>
                      <w:szCs w:val="24"/>
                    </w:rPr>
                    <w:t>3,230</w:t>
                  </w:r>
                </w:p>
              </w:tc>
              <w:tc>
                <w:tcPr>
                  <w:tcW w:w="936" w:type="dxa"/>
                  <w:shd w:val="clear" w:color="auto" w:fill="EEECE1"/>
                </w:tcPr>
                <w:p w14:paraId="18D8B4B0" w14:textId="77777777" w:rsidR="00A66019" w:rsidRPr="00933152" w:rsidRDefault="00A66019" w:rsidP="00A66019">
                  <w:pPr>
                    <w:jc w:val="right"/>
                    <w:rPr>
                      <w:rFonts w:cs="Arial"/>
                      <w:szCs w:val="24"/>
                    </w:rPr>
                  </w:pPr>
                  <w:r w:rsidRPr="00933152">
                    <w:rPr>
                      <w:rFonts w:cs="Arial"/>
                      <w:szCs w:val="24"/>
                    </w:rPr>
                    <w:t>10.73</w:t>
                  </w:r>
                </w:p>
              </w:tc>
              <w:tc>
                <w:tcPr>
                  <w:tcW w:w="792" w:type="dxa"/>
                  <w:shd w:val="clear" w:color="auto" w:fill="auto"/>
                </w:tcPr>
                <w:p w14:paraId="4C987F94" w14:textId="77777777" w:rsidR="00A66019" w:rsidRPr="00933152" w:rsidRDefault="00A66019" w:rsidP="00A66019">
                  <w:pPr>
                    <w:rPr>
                      <w:rFonts w:cs="Arial"/>
                      <w:szCs w:val="24"/>
                    </w:rPr>
                  </w:pPr>
                  <w:r w:rsidRPr="00933152">
                    <w:rPr>
                      <w:rFonts w:cs="Arial"/>
                      <w:szCs w:val="24"/>
                    </w:rPr>
                    <w:t>N</w:t>
                  </w:r>
                </w:p>
              </w:tc>
              <w:tc>
                <w:tcPr>
                  <w:tcW w:w="961" w:type="dxa"/>
                  <w:shd w:val="clear" w:color="auto" w:fill="auto"/>
                </w:tcPr>
                <w:p w14:paraId="11634116" w14:textId="77777777" w:rsidR="00A66019" w:rsidRPr="00933152" w:rsidRDefault="00A66019" w:rsidP="00A66019">
                  <w:pPr>
                    <w:jc w:val="right"/>
                    <w:rPr>
                      <w:rFonts w:cs="Arial"/>
                      <w:szCs w:val="24"/>
                    </w:rPr>
                  </w:pPr>
                  <w:r w:rsidRPr="00933152">
                    <w:rPr>
                      <w:rFonts w:cs="Arial"/>
                      <w:szCs w:val="24"/>
                    </w:rPr>
                    <w:t>4,336</w:t>
                  </w:r>
                </w:p>
              </w:tc>
              <w:tc>
                <w:tcPr>
                  <w:tcW w:w="1032" w:type="dxa"/>
                  <w:shd w:val="clear" w:color="auto" w:fill="auto"/>
                </w:tcPr>
                <w:p w14:paraId="27C4A72F" w14:textId="77777777" w:rsidR="00A66019" w:rsidRPr="00933152" w:rsidRDefault="00A66019" w:rsidP="00A66019">
                  <w:pPr>
                    <w:jc w:val="right"/>
                    <w:rPr>
                      <w:rFonts w:cs="Arial"/>
                      <w:szCs w:val="24"/>
                    </w:rPr>
                  </w:pPr>
                  <w:r w:rsidRPr="00933152">
                    <w:rPr>
                      <w:rFonts w:cs="Arial"/>
                      <w:szCs w:val="24"/>
                    </w:rPr>
                    <w:t>12.83</w:t>
                  </w:r>
                </w:p>
              </w:tc>
              <w:tc>
                <w:tcPr>
                  <w:tcW w:w="792" w:type="dxa"/>
                  <w:shd w:val="clear" w:color="auto" w:fill="EEECE1"/>
                </w:tcPr>
                <w:p w14:paraId="3E4E86C6" w14:textId="77777777" w:rsidR="00A66019" w:rsidRPr="00933152" w:rsidRDefault="00A66019" w:rsidP="00A66019">
                  <w:pPr>
                    <w:rPr>
                      <w:rFonts w:cs="Arial"/>
                      <w:szCs w:val="24"/>
                    </w:rPr>
                  </w:pPr>
                  <w:r w:rsidRPr="00933152">
                    <w:rPr>
                      <w:rFonts w:cs="Arial"/>
                      <w:szCs w:val="24"/>
                    </w:rPr>
                    <w:t>N</w:t>
                  </w:r>
                </w:p>
              </w:tc>
              <w:tc>
                <w:tcPr>
                  <w:tcW w:w="961" w:type="dxa"/>
                  <w:shd w:val="clear" w:color="auto" w:fill="EEECE1"/>
                </w:tcPr>
                <w:p w14:paraId="65952575" w14:textId="77777777" w:rsidR="00A66019" w:rsidRPr="00933152" w:rsidRDefault="00A66019" w:rsidP="00A66019">
                  <w:pPr>
                    <w:jc w:val="right"/>
                    <w:rPr>
                      <w:rFonts w:cs="Arial"/>
                      <w:szCs w:val="24"/>
                    </w:rPr>
                  </w:pPr>
                  <w:r w:rsidRPr="00933152">
                    <w:rPr>
                      <w:rFonts w:cs="Arial"/>
                      <w:szCs w:val="24"/>
                    </w:rPr>
                    <w:t>3,875</w:t>
                  </w:r>
                </w:p>
              </w:tc>
              <w:tc>
                <w:tcPr>
                  <w:tcW w:w="1241" w:type="dxa"/>
                  <w:shd w:val="clear" w:color="auto" w:fill="EEECE1"/>
                </w:tcPr>
                <w:p w14:paraId="25CAD6F1" w14:textId="77777777" w:rsidR="00A66019" w:rsidRPr="00933152" w:rsidRDefault="00A66019" w:rsidP="00A66019">
                  <w:pPr>
                    <w:jc w:val="right"/>
                    <w:rPr>
                      <w:rFonts w:cs="Arial"/>
                      <w:szCs w:val="24"/>
                    </w:rPr>
                  </w:pPr>
                  <w:r w:rsidRPr="00933152">
                    <w:rPr>
                      <w:rFonts w:cs="Arial"/>
                      <w:szCs w:val="24"/>
                    </w:rPr>
                    <w:t>12.19</w:t>
                  </w:r>
                </w:p>
              </w:tc>
            </w:tr>
            <w:tr w:rsidR="00A66019" w:rsidRPr="008D45E1" w14:paraId="5B5D8C3F" w14:textId="77777777" w:rsidTr="00600143">
              <w:tc>
                <w:tcPr>
                  <w:tcW w:w="792" w:type="dxa"/>
                  <w:shd w:val="clear" w:color="auto" w:fill="EEECE1"/>
                </w:tcPr>
                <w:p w14:paraId="53F84FB8" w14:textId="77777777" w:rsidR="00A66019" w:rsidRPr="00933152" w:rsidRDefault="00A66019" w:rsidP="00A66019">
                  <w:pPr>
                    <w:rPr>
                      <w:rFonts w:cs="Arial"/>
                      <w:b/>
                      <w:szCs w:val="24"/>
                    </w:rPr>
                  </w:pPr>
                  <w:r w:rsidRPr="00933152">
                    <w:rPr>
                      <w:rFonts w:cs="Arial"/>
                      <w:b/>
                      <w:szCs w:val="24"/>
                    </w:rPr>
                    <w:lastRenderedPageBreak/>
                    <w:t>Totals</w:t>
                  </w:r>
                </w:p>
              </w:tc>
              <w:tc>
                <w:tcPr>
                  <w:tcW w:w="961" w:type="dxa"/>
                  <w:shd w:val="clear" w:color="auto" w:fill="EEECE1"/>
                </w:tcPr>
                <w:p w14:paraId="78172620" w14:textId="77777777" w:rsidR="00A66019" w:rsidRPr="00933152" w:rsidRDefault="00A66019" w:rsidP="00A66019">
                  <w:pPr>
                    <w:jc w:val="right"/>
                    <w:rPr>
                      <w:rFonts w:cs="Arial"/>
                      <w:b/>
                      <w:szCs w:val="24"/>
                    </w:rPr>
                  </w:pPr>
                  <w:r w:rsidRPr="00933152">
                    <w:rPr>
                      <w:rFonts w:cs="Arial"/>
                      <w:b/>
                      <w:szCs w:val="24"/>
                    </w:rPr>
                    <w:t>11,849</w:t>
                  </w:r>
                </w:p>
              </w:tc>
              <w:tc>
                <w:tcPr>
                  <w:tcW w:w="936" w:type="dxa"/>
                  <w:shd w:val="clear" w:color="auto" w:fill="EEECE1"/>
                </w:tcPr>
                <w:p w14:paraId="2B1E8320" w14:textId="77777777" w:rsidR="00A66019" w:rsidRPr="00933152" w:rsidRDefault="00A66019" w:rsidP="00A66019">
                  <w:pPr>
                    <w:jc w:val="right"/>
                    <w:rPr>
                      <w:rFonts w:cs="Arial"/>
                      <w:b/>
                      <w:szCs w:val="24"/>
                    </w:rPr>
                  </w:pPr>
                  <w:r w:rsidRPr="00933152">
                    <w:rPr>
                      <w:rFonts w:cs="Arial"/>
                      <w:b/>
                      <w:szCs w:val="24"/>
                    </w:rPr>
                    <w:t>*7.87</w:t>
                  </w:r>
                </w:p>
              </w:tc>
              <w:tc>
                <w:tcPr>
                  <w:tcW w:w="792" w:type="dxa"/>
                  <w:shd w:val="clear" w:color="auto" w:fill="auto"/>
                </w:tcPr>
                <w:p w14:paraId="4C9932DF" w14:textId="77777777" w:rsidR="00A66019" w:rsidRPr="00933152" w:rsidRDefault="00A66019" w:rsidP="00A66019">
                  <w:pPr>
                    <w:rPr>
                      <w:rFonts w:cs="Arial"/>
                      <w:b/>
                      <w:szCs w:val="24"/>
                    </w:rPr>
                  </w:pPr>
                </w:p>
              </w:tc>
              <w:tc>
                <w:tcPr>
                  <w:tcW w:w="961" w:type="dxa"/>
                  <w:shd w:val="clear" w:color="auto" w:fill="auto"/>
                </w:tcPr>
                <w:p w14:paraId="2C418375" w14:textId="77777777" w:rsidR="00A66019" w:rsidRPr="00933152" w:rsidRDefault="00A66019" w:rsidP="00A66019">
                  <w:pPr>
                    <w:jc w:val="right"/>
                    <w:rPr>
                      <w:rFonts w:cs="Arial"/>
                      <w:b/>
                      <w:szCs w:val="24"/>
                    </w:rPr>
                  </w:pPr>
                  <w:r w:rsidRPr="00933152">
                    <w:rPr>
                      <w:rFonts w:cs="Arial"/>
                      <w:b/>
                      <w:szCs w:val="24"/>
                    </w:rPr>
                    <w:t>16,107</w:t>
                  </w:r>
                </w:p>
              </w:tc>
              <w:tc>
                <w:tcPr>
                  <w:tcW w:w="1032" w:type="dxa"/>
                  <w:shd w:val="clear" w:color="auto" w:fill="auto"/>
                </w:tcPr>
                <w:p w14:paraId="685CEF4D" w14:textId="77777777" w:rsidR="00A66019" w:rsidRPr="00933152" w:rsidRDefault="00A66019" w:rsidP="00A66019">
                  <w:pPr>
                    <w:jc w:val="right"/>
                    <w:rPr>
                      <w:rFonts w:cs="Arial"/>
                      <w:b/>
                      <w:szCs w:val="24"/>
                    </w:rPr>
                  </w:pPr>
                  <w:r w:rsidRPr="00933152">
                    <w:rPr>
                      <w:rFonts w:cs="Arial"/>
                      <w:b/>
                      <w:szCs w:val="24"/>
                    </w:rPr>
                    <w:t>*9.53</w:t>
                  </w:r>
                </w:p>
              </w:tc>
              <w:tc>
                <w:tcPr>
                  <w:tcW w:w="792" w:type="dxa"/>
                  <w:shd w:val="clear" w:color="auto" w:fill="EEECE1"/>
                </w:tcPr>
                <w:p w14:paraId="505547F8" w14:textId="77777777" w:rsidR="00A66019" w:rsidRPr="00933152" w:rsidRDefault="00A66019" w:rsidP="00A66019">
                  <w:pPr>
                    <w:rPr>
                      <w:rFonts w:cs="Arial"/>
                      <w:b/>
                      <w:szCs w:val="24"/>
                    </w:rPr>
                  </w:pPr>
                </w:p>
              </w:tc>
              <w:tc>
                <w:tcPr>
                  <w:tcW w:w="961" w:type="dxa"/>
                  <w:shd w:val="clear" w:color="auto" w:fill="EEECE1"/>
                </w:tcPr>
                <w:p w14:paraId="72B6DD9E" w14:textId="77777777" w:rsidR="00A66019" w:rsidRPr="00933152" w:rsidRDefault="00A66019" w:rsidP="00A66019">
                  <w:pPr>
                    <w:jc w:val="right"/>
                    <w:rPr>
                      <w:rFonts w:cs="Arial"/>
                      <w:b/>
                      <w:szCs w:val="24"/>
                    </w:rPr>
                  </w:pPr>
                  <w:r w:rsidRPr="00933152">
                    <w:rPr>
                      <w:rFonts w:cs="Arial"/>
                      <w:b/>
                      <w:szCs w:val="24"/>
                    </w:rPr>
                    <w:t>15,452</w:t>
                  </w:r>
                </w:p>
              </w:tc>
              <w:tc>
                <w:tcPr>
                  <w:tcW w:w="1241" w:type="dxa"/>
                  <w:shd w:val="clear" w:color="auto" w:fill="EEECE1"/>
                </w:tcPr>
                <w:p w14:paraId="6C60DF25" w14:textId="77777777" w:rsidR="00A66019" w:rsidRPr="00933152" w:rsidRDefault="00A66019" w:rsidP="00A66019">
                  <w:pPr>
                    <w:jc w:val="right"/>
                    <w:rPr>
                      <w:rFonts w:cs="Arial"/>
                      <w:b/>
                      <w:szCs w:val="24"/>
                    </w:rPr>
                  </w:pPr>
                  <w:r w:rsidRPr="00933152">
                    <w:rPr>
                      <w:rFonts w:cs="Arial"/>
                      <w:b/>
                      <w:szCs w:val="24"/>
                    </w:rPr>
                    <w:t>*9.72</w:t>
                  </w:r>
                </w:p>
              </w:tc>
            </w:tr>
          </w:tbl>
          <w:p w14:paraId="2EDA25D4" w14:textId="77777777" w:rsidR="00A66019" w:rsidRPr="008D45E1" w:rsidRDefault="00A66019" w:rsidP="00A66019">
            <w:pPr>
              <w:rPr>
                <w:rFonts w:cs="Arial"/>
                <w:szCs w:val="24"/>
              </w:rPr>
            </w:pPr>
            <w:r w:rsidRPr="008D45E1">
              <w:rPr>
                <w:rFonts w:cs="Arial"/>
                <w:szCs w:val="24"/>
              </w:rPr>
              <w:t>* denotes an average.</w:t>
            </w:r>
          </w:p>
          <w:p w14:paraId="01EA00CC" w14:textId="77777777" w:rsidR="00A66019" w:rsidRPr="008D45E1" w:rsidRDefault="00A66019" w:rsidP="00A66019">
            <w:pPr>
              <w:rPr>
                <w:rFonts w:cs="Arial"/>
                <w:szCs w:val="24"/>
              </w:rPr>
            </w:pPr>
          </w:p>
          <w:p w14:paraId="37B1A494" w14:textId="393982D4" w:rsidR="00A66019" w:rsidRDefault="00A66019" w:rsidP="00A66019">
            <w:r>
              <w:t xml:space="preserve">According to this data reported in the 2012 Middle States report, approximately 60% of Juniata student satisfy at least one of the Fine Arts distribution requirements with AR 110- Survey of Western Art.  </w:t>
            </w:r>
            <w:r w:rsidRPr="00A706BD">
              <w:t xml:space="preserve">On average, there are 7-8 sections of AR 110 - Survey of Western Art each academic year. Average enrollment for these courses is capped at 30 students per section.  Consequently, 14-16% of the student body at Juniata take AR 110 - Survey of Western Art each year.  </w:t>
            </w:r>
            <w:r w:rsidR="00101742">
              <w:t>The majority of students in these</w:t>
            </w:r>
            <w:r w:rsidRPr="00A706BD">
              <w:t xml:space="preserve"> courses receive an introductory level Fine Arts credit toward the </w:t>
            </w:r>
            <w:r>
              <w:t>Breadth in Knowledge c</w:t>
            </w:r>
            <w:r w:rsidRPr="00A706BD">
              <w:t>omponent of our general education curriculum.</w:t>
            </w:r>
            <w:r>
              <w:t xml:space="preserve"> As a higher enrollment course that is included in 60% of Juniata students’ general education experience, it is an important area of focus for our Breadth in Knowledge component of our general education assessment. </w:t>
            </w:r>
          </w:p>
        </w:tc>
      </w:tr>
      <w:tr w:rsidR="00A66019" w14:paraId="3751D925" w14:textId="77777777" w:rsidTr="00CE50D9">
        <w:trPr>
          <w:trHeight w:val="305"/>
        </w:trPr>
        <w:tc>
          <w:tcPr>
            <w:tcW w:w="10728" w:type="dxa"/>
            <w:shd w:val="clear" w:color="auto" w:fill="D9D9D9" w:themeFill="background1" w:themeFillShade="D9"/>
          </w:tcPr>
          <w:p w14:paraId="0197CAF5" w14:textId="7FA65B68" w:rsidR="00A66019" w:rsidRDefault="00A66019" w:rsidP="00A66019">
            <w:r>
              <w:rPr>
                <w:b/>
              </w:rPr>
              <w:lastRenderedPageBreak/>
              <w:t xml:space="preserve">Course </w:t>
            </w:r>
            <w:r w:rsidR="006F0E35">
              <w:rPr>
                <w:b/>
              </w:rPr>
              <w:t xml:space="preserve">Overview and </w:t>
            </w:r>
            <w:r w:rsidRPr="00DC0734">
              <w:rPr>
                <w:b/>
              </w:rPr>
              <w:t>Objective</w:t>
            </w:r>
            <w:r w:rsidR="006F0E35">
              <w:rPr>
                <w:b/>
              </w:rPr>
              <w:t>s</w:t>
            </w:r>
            <w:r w:rsidR="009E7144">
              <w:rPr>
                <w:b/>
              </w:rPr>
              <w:t xml:space="preserve">: </w:t>
            </w:r>
            <w:r w:rsidR="009E7144">
              <w:t>AR 110 - Survey of Western Art</w:t>
            </w:r>
          </w:p>
        </w:tc>
      </w:tr>
      <w:tr w:rsidR="00A66019" w14:paraId="508532E6" w14:textId="77777777" w:rsidTr="0090023C">
        <w:tc>
          <w:tcPr>
            <w:tcW w:w="10728" w:type="dxa"/>
            <w:shd w:val="clear" w:color="auto" w:fill="FFFFFF" w:themeFill="background1"/>
          </w:tcPr>
          <w:p w14:paraId="2242CC16" w14:textId="77777777" w:rsidR="006F0E35" w:rsidRPr="006E30AC" w:rsidRDefault="006F0E35" w:rsidP="006F0E35">
            <w:r w:rsidRPr="006E30AC">
              <w:t xml:space="preserve">AR 110 is an </w:t>
            </w:r>
            <w:r w:rsidRPr="006E30AC">
              <w:rPr>
                <w:i/>
              </w:rPr>
              <w:t>introductory survey</w:t>
            </w:r>
            <w:r w:rsidRPr="006E30AC">
              <w:t xml:space="preserve"> of western art from the prehistoric era to contemporary times. Rather than being an inclusive survey of the entire period (which would be virtually impossible in one semester!), the course will focus on a selection of topics representative of major developments. We will discuss art and architecture in terms of historical context (while thinking about contemporary social, religious, political and economic events) as well as in terms of formal elements (line, shape, color, texture, space, composition). We will also attempt to discover who made them and for what purposes, while at the same time thinking about the ways in which works of art made so long ago can still carry meaning in our own time. The course will rely heavily on discussion rather than lecture so that you, through close examination and discussion of the objects, can discover the ways by which art reveals meaning. </w:t>
            </w:r>
          </w:p>
          <w:p w14:paraId="779C32C4" w14:textId="77777777" w:rsidR="006F0E35" w:rsidRPr="006E30AC" w:rsidRDefault="006F0E35" w:rsidP="006F0E35"/>
          <w:p w14:paraId="3E54940C" w14:textId="77777777" w:rsidR="006F0E35" w:rsidRPr="006E30AC" w:rsidRDefault="006F0E35" w:rsidP="006F0E35">
            <w:r w:rsidRPr="006E30AC">
              <w:t>The objectives of the course are as follows:</w:t>
            </w:r>
          </w:p>
          <w:p w14:paraId="4DC05A2A" w14:textId="77777777" w:rsidR="006F0E35" w:rsidRPr="006E30AC" w:rsidRDefault="006F0E35" w:rsidP="006F0E35">
            <w:pPr>
              <w:numPr>
                <w:ilvl w:val="0"/>
                <w:numId w:val="7"/>
              </w:numPr>
            </w:pPr>
            <w:r w:rsidRPr="006E30AC">
              <w:t xml:space="preserve">to learn to think </w:t>
            </w:r>
            <w:r w:rsidRPr="006E30AC">
              <w:rPr>
                <w:i/>
              </w:rPr>
              <w:t>critically</w:t>
            </w:r>
            <w:r w:rsidRPr="006E30AC">
              <w:t xml:space="preserve"> and </w:t>
            </w:r>
            <w:r w:rsidRPr="006E30AC">
              <w:rPr>
                <w:i/>
              </w:rPr>
              <w:t>analytically</w:t>
            </w:r>
            <w:r w:rsidRPr="006E30AC">
              <w:t xml:space="preserve"> about images </w:t>
            </w:r>
            <w:r w:rsidRPr="006E30AC">
              <w:rPr>
                <w:i/>
              </w:rPr>
              <w:t>and</w:t>
            </w:r>
            <w:r w:rsidRPr="006E30AC">
              <w:t xml:space="preserve"> historical information </w:t>
            </w:r>
          </w:p>
          <w:p w14:paraId="674FD3DF" w14:textId="77777777" w:rsidR="006F0E35" w:rsidRPr="006E30AC" w:rsidRDefault="006F0E35" w:rsidP="006F0E35">
            <w:pPr>
              <w:numPr>
                <w:ilvl w:val="0"/>
                <w:numId w:val="7"/>
              </w:numPr>
            </w:pPr>
            <w:r w:rsidRPr="006E30AC">
              <w:t xml:space="preserve">to </w:t>
            </w:r>
            <w:r w:rsidRPr="006E30AC">
              <w:rPr>
                <w:i/>
              </w:rPr>
              <w:t xml:space="preserve">synthesize </w:t>
            </w:r>
            <w:r w:rsidRPr="006E30AC">
              <w:t xml:space="preserve">that information </w:t>
            </w:r>
          </w:p>
          <w:p w14:paraId="7C801150" w14:textId="77777777" w:rsidR="006F0E35" w:rsidRPr="006E30AC" w:rsidRDefault="006F0E35" w:rsidP="006F0E35">
            <w:pPr>
              <w:numPr>
                <w:ilvl w:val="0"/>
                <w:numId w:val="7"/>
              </w:numPr>
            </w:pPr>
            <w:r w:rsidRPr="006E30AC">
              <w:t xml:space="preserve">to acquire and effective use a </w:t>
            </w:r>
            <w:r w:rsidRPr="006E30AC">
              <w:rPr>
                <w:i/>
              </w:rPr>
              <w:t>common vocabulary</w:t>
            </w:r>
            <w:r w:rsidRPr="006E30AC">
              <w:t xml:space="preserve"> of formal elements and styles of art</w:t>
            </w:r>
          </w:p>
          <w:p w14:paraId="58251B34" w14:textId="77777777" w:rsidR="006F0E35" w:rsidRPr="006E30AC" w:rsidRDefault="006F0E35" w:rsidP="006F0E35">
            <w:pPr>
              <w:numPr>
                <w:ilvl w:val="0"/>
                <w:numId w:val="7"/>
              </w:numPr>
            </w:pPr>
            <w:r w:rsidRPr="006E30AC">
              <w:t xml:space="preserve">to </w:t>
            </w:r>
            <w:r w:rsidRPr="006E30AC">
              <w:rPr>
                <w:i/>
              </w:rPr>
              <w:t>understand</w:t>
            </w:r>
            <w:r w:rsidRPr="006E30AC">
              <w:t xml:space="preserve"> and </w:t>
            </w:r>
            <w:r w:rsidRPr="006E30AC">
              <w:rPr>
                <w:i/>
              </w:rPr>
              <w:t>appreciate</w:t>
            </w:r>
            <w:r w:rsidRPr="006E30AC">
              <w:t xml:space="preserve"> western art </w:t>
            </w:r>
          </w:p>
          <w:p w14:paraId="22917E85" w14:textId="77777777" w:rsidR="006F0E35" w:rsidRPr="006E30AC" w:rsidRDefault="006F0E35" w:rsidP="006F0E35">
            <w:pPr>
              <w:numPr>
                <w:ilvl w:val="0"/>
                <w:numId w:val="7"/>
              </w:numPr>
            </w:pPr>
            <w:r w:rsidRPr="006E30AC">
              <w:t xml:space="preserve">to learn to clearly </w:t>
            </w:r>
            <w:r w:rsidRPr="006E30AC">
              <w:rPr>
                <w:i/>
              </w:rPr>
              <w:t>articulate</w:t>
            </w:r>
            <w:r w:rsidRPr="006E30AC">
              <w:t xml:space="preserve"> your ideas in speaking and in writing</w:t>
            </w:r>
          </w:p>
          <w:p w14:paraId="4F00107C" w14:textId="2C0DA369" w:rsidR="00A66019" w:rsidRPr="000D75A0" w:rsidRDefault="00A66019" w:rsidP="00A66019"/>
        </w:tc>
      </w:tr>
      <w:tr w:rsidR="00A66019" w14:paraId="6440B938" w14:textId="77777777" w:rsidTr="00CE50D9">
        <w:trPr>
          <w:trHeight w:val="395"/>
        </w:trPr>
        <w:tc>
          <w:tcPr>
            <w:tcW w:w="10728" w:type="dxa"/>
            <w:shd w:val="clear" w:color="auto" w:fill="D9D9D9" w:themeFill="background1" w:themeFillShade="D9"/>
          </w:tcPr>
          <w:p w14:paraId="6EE86392" w14:textId="54F2A9E6" w:rsidR="00A66019" w:rsidRDefault="00A66019" w:rsidP="00A66019">
            <w:r w:rsidRPr="00DC0734">
              <w:rPr>
                <w:b/>
              </w:rPr>
              <w:t>How did you collect your data (method and tools)?</w:t>
            </w:r>
          </w:p>
        </w:tc>
      </w:tr>
      <w:tr w:rsidR="00A66019" w14:paraId="4742480C" w14:textId="77777777" w:rsidTr="005E4D66">
        <w:trPr>
          <w:trHeight w:val="2609"/>
        </w:trPr>
        <w:tc>
          <w:tcPr>
            <w:tcW w:w="10728" w:type="dxa"/>
          </w:tcPr>
          <w:p w14:paraId="27C9E64E" w14:textId="60459E87" w:rsidR="00A66019" w:rsidRDefault="009E7144" w:rsidP="00A66019">
            <w:r>
              <w:t>As part of their departmental assessment, t</w:t>
            </w:r>
            <w:r w:rsidR="00A66019">
              <w:t xml:space="preserve">hree faculty members in the Art History department generated an outline of the topics covered in the AR 110, Survey of Western Art course.  Each faculty member then generated questions to reflect key course content in the content areas represented in the outline. The questions were designed to reflect foundational concepts of the study of art (2 questions), key vocabulary in the study of artistic style (2 questions), key vocabulary in the field of Art History (5 questions), the identification of artists or historical figures or groups influential in the History of Art (5 questions), and important characteristics of particular styles/periods of art (6 questions). Some of the questions were identified as requiring specific vocabulary in order to answer the content questions related generally to Art or Style.  Consequently, these categories were labeled Art &amp; Art Vocabulary and Style and Vocabulary questions. The pre-post exams were comprised of a total of 20 multiple choice questions. </w:t>
            </w:r>
          </w:p>
          <w:p w14:paraId="74FA7408" w14:textId="07951482" w:rsidR="00A66019" w:rsidRPr="00DC0734" w:rsidRDefault="00A66019" w:rsidP="00A66019">
            <w:pPr>
              <w:rPr>
                <w:b/>
              </w:rPr>
            </w:pPr>
            <w:r>
              <w:t xml:space="preserve">Data were collected in three sections of AR 110, Survey of Western Art during the Fall 2014 semester.  A total of 67 students completed the pre-test and 70 completed the post-test.  </w:t>
            </w:r>
          </w:p>
        </w:tc>
      </w:tr>
      <w:tr w:rsidR="00A66019" w14:paraId="37DB3994" w14:textId="77777777" w:rsidTr="00CE50D9">
        <w:trPr>
          <w:trHeight w:val="350"/>
        </w:trPr>
        <w:tc>
          <w:tcPr>
            <w:tcW w:w="10728" w:type="dxa"/>
            <w:shd w:val="clear" w:color="auto" w:fill="D9D9D9" w:themeFill="background1" w:themeFillShade="D9"/>
          </w:tcPr>
          <w:p w14:paraId="54D2D8FD" w14:textId="77777777" w:rsidR="00A66019" w:rsidRDefault="00A66019" w:rsidP="00A66019">
            <w:r>
              <w:t>Type of Data (qualitative, quantitative, both &amp; indicate if direct or indirect methods)</w:t>
            </w:r>
          </w:p>
        </w:tc>
      </w:tr>
      <w:tr w:rsidR="00A66019" w14:paraId="3C1DB178" w14:textId="77777777" w:rsidTr="00011EE0">
        <w:trPr>
          <w:trHeight w:val="1610"/>
        </w:trPr>
        <w:tc>
          <w:tcPr>
            <w:tcW w:w="10728" w:type="dxa"/>
          </w:tcPr>
          <w:p w14:paraId="703CAA2B" w14:textId="184AEB20" w:rsidR="00A66019" w:rsidRDefault="00A66019" w:rsidP="00A66019">
            <w:r w:rsidRPr="00BE3B4F">
              <w:rPr>
                <w:b/>
              </w:rPr>
              <w:t>Direct Measures</w:t>
            </w:r>
            <w:r>
              <w:t xml:space="preserve">: The pre-post exams were analyzed for the number of incorrect responses across sections for each question item and for category of item (e.g., Style, Vocabulary, etc.). It was expected that overall student performance on the Survey of Western Art measure would be at 70% accuracy or above. </w:t>
            </w:r>
          </w:p>
          <w:p w14:paraId="625937CB" w14:textId="77777777" w:rsidR="00A66019" w:rsidRDefault="00A66019" w:rsidP="00A66019"/>
          <w:p w14:paraId="5A4F9637" w14:textId="1BEC656B" w:rsidR="00A66019" w:rsidRDefault="00A66019" w:rsidP="00A66019">
            <w:r w:rsidRPr="00BE3B4F">
              <w:rPr>
                <w:b/>
              </w:rPr>
              <w:t>Indirect Me</w:t>
            </w:r>
            <w:r>
              <w:rPr>
                <w:b/>
              </w:rPr>
              <w:t>a</w:t>
            </w:r>
            <w:r w:rsidRPr="00BE3B4F">
              <w:rPr>
                <w:b/>
              </w:rPr>
              <w:t>sures:</w:t>
            </w:r>
            <w:r>
              <w:rPr>
                <w:b/>
              </w:rPr>
              <w:t xml:space="preserve">  </w:t>
            </w:r>
            <w:r>
              <w:t>No indirect measures were gathered with this assessment.</w:t>
            </w:r>
          </w:p>
          <w:p w14:paraId="0721F0C0" w14:textId="3E35A32B" w:rsidR="00A66019" w:rsidRPr="00EC7EFB" w:rsidRDefault="00A66019" w:rsidP="00A66019"/>
        </w:tc>
      </w:tr>
      <w:tr w:rsidR="00A66019" w14:paraId="3595BD63" w14:textId="77777777" w:rsidTr="00444035">
        <w:trPr>
          <w:trHeight w:val="350"/>
        </w:trPr>
        <w:tc>
          <w:tcPr>
            <w:tcW w:w="10728" w:type="dxa"/>
            <w:tcBorders>
              <w:bottom w:val="single" w:sz="4" w:space="0" w:color="auto"/>
            </w:tcBorders>
            <w:shd w:val="clear" w:color="auto" w:fill="D9D9D9" w:themeFill="background1" w:themeFillShade="D9"/>
          </w:tcPr>
          <w:p w14:paraId="5A2E1984" w14:textId="5FED9EC5" w:rsidR="00A66019" w:rsidRDefault="00A66019" w:rsidP="00A66019">
            <w:r>
              <w:lastRenderedPageBreak/>
              <w:t>Outline the results of the assessment:</w:t>
            </w:r>
          </w:p>
        </w:tc>
      </w:tr>
      <w:tr w:rsidR="00A66019" w14:paraId="17DFB2F3" w14:textId="77777777" w:rsidTr="004F6A64">
        <w:trPr>
          <w:trHeight w:val="800"/>
        </w:trPr>
        <w:tc>
          <w:tcPr>
            <w:tcW w:w="10728" w:type="dxa"/>
            <w:tcBorders>
              <w:bottom w:val="single" w:sz="4" w:space="0" w:color="auto"/>
            </w:tcBorders>
          </w:tcPr>
          <w:p w14:paraId="654FA12B" w14:textId="56FB6BB3" w:rsidR="00A66019" w:rsidRDefault="00A66019" w:rsidP="00A66019">
            <w:r>
              <w:t>Students demonstrated gains in knowledge across items of the Survey of Western Art Assessment</w:t>
            </w:r>
            <w:r w:rsidR="007C75FC">
              <w:t xml:space="preserve"> across all three sections of the course</w:t>
            </w:r>
            <w:r>
              <w:t>.</w:t>
            </w:r>
          </w:p>
          <w:p w14:paraId="47ED5E06" w14:textId="77777777" w:rsidR="00A66019" w:rsidRDefault="00A66019" w:rsidP="00A66019"/>
          <w:p w14:paraId="783CDCCD" w14:textId="32BFEFE7" w:rsidR="00A66019" w:rsidRDefault="00A66019" w:rsidP="00A66019">
            <w:r>
              <w:t>Figure 1: Number of Incorrect Responses Pre-Post on the Survey of Western Art Assessment</w:t>
            </w:r>
          </w:p>
          <w:p w14:paraId="3C57617D" w14:textId="77777777" w:rsidR="00A66019" w:rsidRDefault="00A66019" w:rsidP="007C75FC">
            <w:pPr>
              <w:jc w:val="center"/>
            </w:pPr>
            <w:r>
              <w:rPr>
                <w:noProof/>
              </w:rPr>
              <w:drawing>
                <wp:inline distT="0" distB="0" distL="0" distR="0" wp14:anchorId="0C178D58" wp14:editId="5E7DC237">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F43BEB0" w14:textId="77777777" w:rsidR="00A66019" w:rsidRDefault="00A66019" w:rsidP="00A66019"/>
          <w:p w14:paraId="64F774AD" w14:textId="217AC6C2" w:rsidR="00A66019" w:rsidRDefault="00A66019" w:rsidP="00A66019">
            <w:r>
              <w:t>Specifically, the average score on the 20-item test at the start of the course was 41%.  The average post-test score was 73%.</w:t>
            </w:r>
          </w:p>
          <w:p w14:paraId="7A64C50F" w14:textId="77777777" w:rsidR="00A66019" w:rsidRDefault="00A66019" w:rsidP="00A66019"/>
          <w:p w14:paraId="08633FBF" w14:textId="312A05E5" w:rsidR="00A66019" w:rsidRDefault="00A66019" w:rsidP="00A66019">
            <w:r>
              <w:t>Figure 2: Percent of Items Correct by Content Area Pre-Post on the Survey of Western Art Assessment</w:t>
            </w:r>
          </w:p>
          <w:p w14:paraId="3CB771CD" w14:textId="7EC6C906" w:rsidR="00A66019" w:rsidRDefault="00A66019" w:rsidP="004F6A64">
            <w:pPr>
              <w:jc w:val="center"/>
            </w:pPr>
            <w:r>
              <w:rPr>
                <w:noProof/>
              </w:rPr>
              <w:drawing>
                <wp:inline distT="0" distB="0" distL="0" distR="0" wp14:anchorId="2B1AEE28" wp14:editId="03C956A4">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4958B87" w14:textId="77777777" w:rsidR="00A66019" w:rsidRDefault="00A66019" w:rsidP="00A66019"/>
          <w:p w14:paraId="11155CE3" w14:textId="77777777" w:rsidR="00A66019" w:rsidRDefault="00A66019" w:rsidP="00A66019">
            <w:r>
              <w:t xml:space="preserve">Percent gain in knowledge, as demonstrated on the pre-post Survey of Western Art Assessment </w:t>
            </w:r>
          </w:p>
          <w:p w14:paraId="27EFE599" w14:textId="77777777" w:rsidR="00A66019" w:rsidRDefault="00A66019" w:rsidP="00A66019"/>
          <w:tbl>
            <w:tblPr>
              <w:tblStyle w:val="TableGrid"/>
              <w:tblW w:w="0" w:type="auto"/>
              <w:tblInd w:w="1952" w:type="dxa"/>
              <w:tblLayout w:type="fixed"/>
              <w:tblLook w:val="04A0" w:firstRow="1" w:lastRow="0" w:firstColumn="1" w:lastColumn="0" w:noHBand="0" w:noVBand="1"/>
            </w:tblPr>
            <w:tblGrid>
              <w:gridCol w:w="3299"/>
              <w:gridCol w:w="2371"/>
            </w:tblGrid>
            <w:tr w:rsidR="00A66019" w14:paraId="7A345957" w14:textId="77777777" w:rsidTr="00A2364B">
              <w:tc>
                <w:tcPr>
                  <w:tcW w:w="3299" w:type="dxa"/>
                </w:tcPr>
                <w:p w14:paraId="03D90BBB" w14:textId="77777777" w:rsidR="00A66019" w:rsidRDefault="00A66019" w:rsidP="00A66019"/>
              </w:tc>
              <w:tc>
                <w:tcPr>
                  <w:tcW w:w="2371" w:type="dxa"/>
                </w:tcPr>
                <w:p w14:paraId="38A3AD19" w14:textId="2CC9CC5E" w:rsidR="00A66019" w:rsidRDefault="00A66019" w:rsidP="00A66019">
                  <w:r>
                    <w:t>% Gain from Pre-Post</w:t>
                  </w:r>
                </w:p>
              </w:tc>
            </w:tr>
            <w:tr w:rsidR="00A66019" w14:paraId="6DF6D271" w14:textId="77777777" w:rsidTr="00A2364B">
              <w:tc>
                <w:tcPr>
                  <w:tcW w:w="3299" w:type="dxa"/>
                </w:tcPr>
                <w:p w14:paraId="455466D3" w14:textId="54B1F9DB" w:rsidR="00A66019" w:rsidRDefault="00A66019" w:rsidP="00A66019">
                  <w:r>
                    <w:t>Art &amp; Art Vocabulary</w:t>
                  </w:r>
                </w:p>
              </w:tc>
              <w:tc>
                <w:tcPr>
                  <w:tcW w:w="2371" w:type="dxa"/>
                </w:tcPr>
                <w:p w14:paraId="51F98F2F" w14:textId="717F13BD" w:rsidR="00A66019" w:rsidRDefault="00A66019" w:rsidP="00A66019">
                  <w:pPr>
                    <w:jc w:val="center"/>
                  </w:pPr>
                  <w:r>
                    <w:t>25%</w:t>
                  </w:r>
                </w:p>
              </w:tc>
            </w:tr>
            <w:tr w:rsidR="00A66019" w14:paraId="51CC443D" w14:textId="77777777" w:rsidTr="00A2364B">
              <w:tc>
                <w:tcPr>
                  <w:tcW w:w="3299" w:type="dxa"/>
                </w:tcPr>
                <w:p w14:paraId="30F4271F" w14:textId="5A974C1A" w:rsidR="00A66019" w:rsidRDefault="00A66019" w:rsidP="00A66019">
                  <w:r>
                    <w:t xml:space="preserve">Style &amp; Vocabulary </w:t>
                  </w:r>
                </w:p>
              </w:tc>
              <w:tc>
                <w:tcPr>
                  <w:tcW w:w="2371" w:type="dxa"/>
                </w:tcPr>
                <w:p w14:paraId="218DA3A9" w14:textId="332539DD" w:rsidR="00A66019" w:rsidRDefault="00A66019" w:rsidP="00A66019">
                  <w:pPr>
                    <w:jc w:val="center"/>
                  </w:pPr>
                  <w:r>
                    <w:t>34%</w:t>
                  </w:r>
                </w:p>
              </w:tc>
            </w:tr>
            <w:tr w:rsidR="00A66019" w14:paraId="0AA44A32" w14:textId="77777777" w:rsidTr="00A2364B">
              <w:tc>
                <w:tcPr>
                  <w:tcW w:w="3299" w:type="dxa"/>
                </w:tcPr>
                <w:p w14:paraId="2462BAB1" w14:textId="794F5A9B" w:rsidR="00A66019" w:rsidRDefault="00A66019" w:rsidP="00A66019">
                  <w:r>
                    <w:t xml:space="preserve">Vocabulary </w:t>
                  </w:r>
                </w:p>
              </w:tc>
              <w:tc>
                <w:tcPr>
                  <w:tcW w:w="2371" w:type="dxa"/>
                </w:tcPr>
                <w:p w14:paraId="7AA0ECAB" w14:textId="3629A508" w:rsidR="00A66019" w:rsidRDefault="00A66019" w:rsidP="00A66019">
                  <w:pPr>
                    <w:jc w:val="center"/>
                  </w:pPr>
                  <w:r>
                    <w:t>48%</w:t>
                  </w:r>
                </w:p>
              </w:tc>
            </w:tr>
            <w:tr w:rsidR="00A66019" w14:paraId="400F7A0B" w14:textId="77777777" w:rsidTr="00A2364B">
              <w:tc>
                <w:tcPr>
                  <w:tcW w:w="3299" w:type="dxa"/>
                </w:tcPr>
                <w:p w14:paraId="5BBF0D32" w14:textId="36684E79" w:rsidR="00A66019" w:rsidRDefault="00A66019" w:rsidP="00A66019">
                  <w:r>
                    <w:lastRenderedPageBreak/>
                    <w:t>Style</w:t>
                  </w:r>
                </w:p>
              </w:tc>
              <w:tc>
                <w:tcPr>
                  <w:tcW w:w="2371" w:type="dxa"/>
                </w:tcPr>
                <w:p w14:paraId="4B6A175F" w14:textId="76AD0443" w:rsidR="00A66019" w:rsidRDefault="00A66019" w:rsidP="00A66019">
                  <w:pPr>
                    <w:jc w:val="center"/>
                  </w:pPr>
                  <w:r>
                    <w:t>31%</w:t>
                  </w:r>
                </w:p>
              </w:tc>
            </w:tr>
            <w:tr w:rsidR="00A66019" w14:paraId="6D757385" w14:textId="77777777" w:rsidTr="00A2364B">
              <w:tc>
                <w:tcPr>
                  <w:tcW w:w="3299" w:type="dxa"/>
                </w:tcPr>
                <w:p w14:paraId="3F8A1A26" w14:textId="4DDDA88E" w:rsidR="00A66019" w:rsidRDefault="00A66019" w:rsidP="00A66019">
                  <w:r>
                    <w:t>People/Artist</w:t>
                  </w:r>
                </w:p>
              </w:tc>
              <w:tc>
                <w:tcPr>
                  <w:tcW w:w="2371" w:type="dxa"/>
                </w:tcPr>
                <w:p w14:paraId="3019EBBD" w14:textId="66896ECE" w:rsidR="00A66019" w:rsidRDefault="00A66019" w:rsidP="00A66019">
                  <w:pPr>
                    <w:jc w:val="center"/>
                  </w:pPr>
                  <w:r>
                    <w:t>22%</w:t>
                  </w:r>
                </w:p>
              </w:tc>
            </w:tr>
          </w:tbl>
          <w:p w14:paraId="0F49A8DC" w14:textId="1663C209" w:rsidR="00A66019" w:rsidRDefault="00A66019" w:rsidP="00A66019"/>
        </w:tc>
      </w:tr>
      <w:tr w:rsidR="00A66019" w14:paraId="0D13B5B1" w14:textId="77777777" w:rsidTr="00CE50D9">
        <w:trPr>
          <w:trHeight w:val="350"/>
        </w:trPr>
        <w:tc>
          <w:tcPr>
            <w:tcW w:w="10728" w:type="dxa"/>
            <w:shd w:val="clear" w:color="auto" w:fill="D9D9D9" w:themeFill="background1" w:themeFillShade="D9"/>
          </w:tcPr>
          <w:p w14:paraId="26685F10" w14:textId="77777777" w:rsidR="00A66019" w:rsidRDefault="00A66019" w:rsidP="00A66019">
            <w:r>
              <w:lastRenderedPageBreak/>
              <w:t>Analysis:  How do you interpret the results?  What does it mean?</w:t>
            </w:r>
          </w:p>
        </w:tc>
      </w:tr>
      <w:tr w:rsidR="00A66019" w14:paraId="7DB81D8B" w14:textId="77777777" w:rsidTr="00CE50D9">
        <w:trPr>
          <w:trHeight w:val="3500"/>
        </w:trPr>
        <w:tc>
          <w:tcPr>
            <w:tcW w:w="10728" w:type="dxa"/>
          </w:tcPr>
          <w:p w14:paraId="2CA0E2EF" w14:textId="2B1690AD" w:rsidR="00A66019" w:rsidRDefault="00A66019" w:rsidP="00A66019">
            <w:r>
              <w:t>Student performance on the pre to post-test measure demonstrates gains in student knowledge across all content areas, including the study of art</w:t>
            </w:r>
            <w:r w:rsidR="00A36630">
              <w:t>, vocabulary</w:t>
            </w:r>
            <w:r>
              <w:t>, characteristics of style, and key people in the study of Art and Art History.  Student performance on the post-test measure were, on average, 32% higher than the pre-test levels (e.g., average correct 41% pre-test to 73% post-test). The largest gains in student knowledge were demonstrated in the area of Vocabulary (e.g., 41% pre-test to 89% post-test) followed by Style and Vocabulary questions (e.g., 36% pre-test to 70% post-test). Student responses on the measure for items related to Style and People/Artists had a gain of 31% and 21% respectively, but overall student performance on these items fell below the expected level of 70% accuracy.  Specifically, student averages on the Style questions was 64% and 65% for the People/Artist questions.  In the area of Art and Vocabulary, approximately half of the students responded correctly to these items at the pre-test.  Specifically, item 1, related to prehistoric cave paintings, was correctly answered by 85% of students at the pre-test.</w:t>
            </w:r>
          </w:p>
          <w:p w14:paraId="5D96D00B" w14:textId="210E201D" w:rsidR="00A66019" w:rsidRDefault="00A66019" w:rsidP="00A66019"/>
        </w:tc>
      </w:tr>
      <w:tr w:rsidR="00A66019" w14:paraId="6604F1F4" w14:textId="77777777" w:rsidTr="00CE50D9">
        <w:trPr>
          <w:trHeight w:val="350"/>
        </w:trPr>
        <w:tc>
          <w:tcPr>
            <w:tcW w:w="10728" w:type="dxa"/>
            <w:shd w:val="clear" w:color="auto" w:fill="D9D9D9" w:themeFill="background1" w:themeFillShade="D9"/>
          </w:tcPr>
          <w:p w14:paraId="504E46F4" w14:textId="77777777" w:rsidR="00A66019" w:rsidRDefault="00A66019" w:rsidP="00A66019">
            <w:r>
              <w:t>Based on the analysis of the data and synthesis of information, what are next steps?  Be sure to include an explicit timeline for next steps.</w:t>
            </w:r>
          </w:p>
        </w:tc>
      </w:tr>
      <w:tr w:rsidR="00A66019" w14:paraId="41130CF7" w14:textId="77777777" w:rsidTr="007C1CC3">
        <w:trPr>
          <w:trHeight w:val="2285"/>
        </w:trPr>
        <w:tc>
          <w:tcPr>
            <w:tcW w:w="10728" w:type="dxa"/>
          </w:tcPr>
          <w:p w14:paraId="2A03F478" w14:textId="1BAAAD1C" w:rsidR="00A36630" w:rsidRDefault="00A36630" w:rsidP="00A36630">
            <w:r>
              <w:t>Overall, the department was pleased to see the consistency in performance across course sections. The</w:t>
            </w:r>
            <w:r w:rsidR="00292C0A">
              <w:t>y</w:t>
            </w:r>
            <w:r>
              <w:t xml:space="preserve"> have interest, however, in </w:t>
            </w:r>
            <w:r w:rsidR="00292C0A">
              <w:t xml:space="preserve">reviewing the items on the measure and revise items that they thought may have not been optimally worded. They want to be sure that the items are clear and straightforward so that they are sure to demonstrate student knowledge of Art and Art History. In addition, for Item One on the measure: </w:t>
            </w:r>
            <w:r w:rsidR="00907418">
              <w:t xml:space="preserve">What are the most common figures/objects found in prehistoric cave paintings, </w:t>
            </w:r>
            <w:r w:rsidR="00292C0A">
              <w:t xml:space="preserve">85% of students answered this question correctly on the pre-assessment.  Consequently, this item may reflect common knowledge and may need to be altered to better identify gains in knowledge directly linked to the AR-110 course. </w:t>
            </w:r>
          </w:p>
          <w:p w14:paraId="4FE8EE15" w14:textId="77777777" w:rsidR="00292C0A" w:rsidRDefault="00292C0A" w:rsidP="00A36630"/>
          <w:p w14:paraId="0B69BEA7" w14:textId="36026A61" w:rsidR="00292C0A" w:rsidRDefault="00292C0A" w:rsidP="00A36630">
            <w:r>
              <w:t xml:space="preserve">Overall, as an initial point of assessment, there was satisfaction with the outcomes. Particularly that there were gains across content areas; Art and Art Vocabulary, Style and Vocabulary, Vocabulary, Style, and People/Artists.  It was thought that revisions to some items may result in more equal gains in knowledge across these content areas. </w:t>
            </w:r>
          </w:p>
          <w:p w14:paraId="4A4F2846" w14:textId="77777777" w:rsidR="00292C0A" w:rsidRDefault="00292C0A" w:rsidP="00A36630"/>
          <w:p w14:paraId="59C8E8EF" w14:textId="287D8AB5" w:rsidR="00292C0A" w:rsidRDefault="00292C0A" w:rsidP="00A36630">
            <w:r>
              <w:t xml:space="preserve">The department plans to complete this pre-post assessment again in the Fall 2015 or Spring 2016 semester in order to gather more data to establish a more thorough picture of student knowledge of the key content areas of the course pre- to post- course. </w:t>
            </w:r>
            <w:r w:rsidR="0088470D">
              <w:t>Through this assessment process, those teaching the course have discovered the need to review the catalogue description and ensure it matches with the current focus of the course.  Additionally, they determined that it would be useful to review this description and ensure there is a strong connection between this descriptions and the course objectives outlined on all of the AR-100 syllabi.</w:t>
            </w:r>
          </w:p>
          <w:p w14:paraId="733F1C7D" w14:textId="77777777" w:rsidR="0088470D" w:rsidRDefault="0088470D" w:rsidP="00A36630"/>
          <w:p w14:paraId="5734E656" w14:textId="42769F12" w:rsidR="0088470D" w:rsidRDefault="0088470D" w:rsidP="00A36630">
            <w:r>
              <w:t xml:space="preserve">For broader F assessment, it would be beneficial to identify similar pre-post gains in another key area of Fine Arts offerings, specifically </w:t>
            </w:r>
            <w:r w:rsidR="00A070DB">
              <w:t>those identified as MU-</w:t>
            </w:r>
            <w:r>
              <w:t>Instrumental Music</w:t>
            </w:r>
            <w:r w:rsidR="00A070DB">
              <w:t xml:space="preserve"> in our Datatel system</w:t>
            </w:r>
            <w:bookmarkStart w:id="0" w:name="_GoBack"/>
            <w:bookmarkEnd w:id="0"/>
            <w:r>
              <w:t xml:space="preserve">.  Based on the current data from the Registrar’s office, the highest enrolled course in this area is Choral Music. The assistant provost will reach out to the members of the Music department to outline the best approach for this assessment. </w:t>
            </w:r>
          </w:p>
          <w:p w14:paraId="0EA3E84A" w14:textId="15B7E169" w:rsidR="00A66019" w:rsidRDefault="00A36630" w:rsidP="00292C0A">
            <w:r w:rsidRPr="00860F3F">
              <w:t xml:space="preserve"> </w:t>
            </w:r>
          </w:p>
        </w:tc>
      </w:tr>
    </w:tbl>
    <w:p w14:paraId="1744B2EA" w14:textId="77777777" w:rsidR="005262EA" w:rsidRDefault="005262EA" w:rsidP="005262EA"/>
    <w:p w14:paraId="33465D89" w14:textId="77777777" w:rsidR="005262EA" w:rsidRDefault="005262EA" w:rsidP="005262EA">
      <w:r>
        <w:t>Comments:</w:t>
      </w:r>
    </w:p>
    <w:p w14:paraId="3B51E55E" w14:textId="18B0BDFA" w:rsidR="00A61766" w:rsidRDefault="00A61766">
      <w:r>
        <w:br w:type="page"/>
      </w:r>
    </w:p>
    <w:p w14:paraId="4F74D71E" w14:textId="1248A7F9" w:rsidR="00FA3DC7" w:rsidRDefault="00A61766" w:rsidP="00FA3DC7">
      <w:r>
        <w:lastRenderedPageBreak/>
        <w:t>Questions and Category</w:t>
      </w:r>
    </w:p>
    <w:tbl>
      <w:tblPr>
        <w:tblW w:w="10620" w:type="dxa"/>
        <w:tblLook w:val="04A0" w:firstRow="1" w:lastRow="0" w:firstColumn="1" w:lastColumn="0" w:noHBand="0" w:noVBand="1"/>
      </w:tblPr>
      <w:tblGrid>
        <w:gridCol w:w="10620"/>
      </w:tblGrid>
      <w:tr w:rsidR="00907418" w:rsidRPr="00A61766" w14:paraId="75522194" w14:textId="51842DDC" w:rsidTr="00907418">
        <w:trPr>
          <w:trHeight w:val="300"/>
        </w:trPr>
        <w:tc>
          <w:tcPr>
            <w:tcW w:w="10620" w:type="dxa"/>
            <w:tcBorders>
              <w:top w:val="nil"/>
              <w:left w:val="nil"/>
              <w:bottom w:val="nil"/>
              <w:right w:val="nil"/>
            </w:tcBorders>
            <w:shd w:val="clear" w:color="auto" w:fill="auto"/>
            <w:noWrap/>
            <w:vAlign w:val="bottom"/>
            <w:hideMark/>
          </w:tcPr>
          <w:p w14:paraId="06B55387" w14:textId="001EB304" w:rsidR="00907418" w:rsidRPr="00A61766" w:rsidRDefault="00907418" w:rsidP="00907418">
            <w:pPr>
              <w:tabs>
                <w:tab w:val="left" w:pos="2944"/>
              </w:tabs>
              <w:spacing w:after="0" w:line="240" w:lineRule="auto"/>
              <w:rPr>
                <w:rFonts w:ascii="Calibri" w:eastAsia="Times New Roman" w:hAnsi="Calibri" w:cs="Times New Roman"/>
                <w:color w:val="000000"/>
              </w:rPr>
            </w:pPr>
            <w:r w:rsidRPr="00A61766">
              <w:rPr>
                <w:rFonts w:ascii="Calibri" w:eastAsia="Times New Roman" w:hAnsi="Calibri" w:cs="Times New Roman"/>
                <w:b/>
                <w:bCs/>
                <w:color w:val="000000"/>
              </w:rPr>
              <w:t>Question 1</w:t>
            </w:r>
            <w:r w:rsidRPr="00A61766">
              <w:rPr>
                <w:rFonts w:ascii="Calibri" w:eastAsia="Times New Roman" w:hAnsi="Calibri" w:cs="Times New Roman"/>
                <w:color w:val="000000"/>
              </w:rPr>
              <w:t xml:space="preserve">  ART</w:t>
            </w:r>
            <w:r>
              <w:rPr>
                <w:rFonts w:ascii="Calibri" w:eastAsia="Times New Roman" w:hAnsi="Calibri" w:cs="Times New Roman"/>
                <w:color w:val="000000"/>
              </w:rPr>
              <w:t xml:space="preserve"> – What are the most common figures/objects in prehistoric cave paintings?</w:t>
            </w:r>
          </w:p>
        </w:tc>
      </w:tr>
      <w:tr w:rsidR="00907418" w:rsidRPr="00A61766" w14:paraId="0EAE3BC6" w14:textId="71CF6142" w:rsidTr="00907418">
        <w:trPr>
          <w:trHeight w:val="300"/>
        </w:trPr>
        <w:tc>
          <w:tcPr>
            <w:tcW w:w="10620" w:type="dxa"/>
            <w:tcBorders>
              <w:top w:val="nil"/>
              <w:left w:val="nil"/>
              <w:bottom w:val="nil"/>
              <w:right w:val="nil"/>
            </w:tcBorders>
            <w:shd w:val="clear" w:color="auto" w:fill="auto"/>
            <w:noWrap/>
            <w:vAlign w:val="bottom"/>
            <w:hideMark/>
          </w:tcPr>
          <w:p w14:paraId="6ADF2C2A" w14:textId="6E6AA3A9" w:rsidR="00907418" w:rsidRPr="00A61766" w:rsidRDefault="00907418" w:rsidP="00A61766">
            <w:pPr>
              <w:spacing w:after="0" w:line="240" w:lineRule="auto"/>
              <w:rPr>
                <w:rFonts w:ascii="Calibri" w:eastAsia="Times New Roman" w:hAnsi="Calibri" w:cs="Times New Roman"/>
                <w:color w:val="000000"/>
              </w:rPr>
            </w:pPr>
            <w:r w:rsidRPr="00A61766">
              <w:rPr>
                <w:rFonts w:ascii="Calibri" w:eastAsia="Times New Roman" w:hAnsi="Calibri" w:cs="Times New Roman"/>
                <w:b/>
                <w:bCs/>
                <w:color w:val="000000"/>
              </w:rPr>
              <w:t xml:space="preserve">Question 2 </w:t>
            </w:r>
            <w:r w:rsidRPr="00A61766">
              <w:rPr>
                <w:rFonts w:ascii="Calibri" w:eastAsia="Times New Roman" w:hAnsi="Calibri" w:cs="Times New Roman"/>
                <w:color w:val="000000"/>
              </w:rPr>
              <w:t>VOCAB/STYLE</w:t>
            </w:r>
            <w:r>
              <w:rPr>
                <w:rFonts w:ascii="Calibri" w:eastAsia="Times New Roman" w:hAnsi="Calibri" w:cs="Times New Roman"/>
                <w:color w:val="000000"/>
              </w:rPr>
              <w:t xml:space="preserve"> – The 19</w:t>
            </w:r>
            <w:r w:rsidRPr="00907418">
              <w:rPr>
                <w:rFonts w:ascii="Calibri" w:eastAsia="Times New Roman" w:hAnsi="Calibri" w:cs="Times New Roman"/>
                <w:color w:val="000000"/>
                <w:vertAlign w:val="superscript"/>
              </w:rPr>
              <w:t>th</w:t>
            </w:r>
            <w:r>
              <w:rPr>
                <w:rFonts w:ascii="Calibri" w:eastAsia="Times New Roman" w:hAnsi="Calibri" w:cs="Times New Roman"/>
                <w:color w:val="000000"/>
              </w:rPr>
              <w:t xml:space="preserve"> Century Salon was known for which of the following</w:t>
            </w:r>
          </w:p>
        </w:tc>
      </w:tr>
      <w:tr w:rsidR="00907418" w:rsidRPr="00A61766" w14:paraId="73911F72" w14:textId="2B9EAB0D" w:rsidTr="00907418">
        <w:trPr>
          <w:trHeight w:val="300"/>
        </w:trPr>
        <w:tc>
          <w:tcPr>
            <w:tcW w:w="10620" w:type="dxa"/>
            <w:tcBorders>
              <w:top w:val="nil"/>
              <w:left w:val="nil"/>
              <w:bottom w:val="nil"/>
              <w:right w:val="nil"/>
            </w:tcBorders>
            <w:shd w:val="clear" w:color="auto" w:fill="auto"/>
            <w:noWrap/>
            <w:vAlign w:val="bottom"/>
            <w:hideMark/>
          </w:tcPr>
          <w:p w14:paraId="4D37DFCA" w14:textId="2335D230" w:rsidR="00907418" w:rsidRPr="00A61766" w:rsidRDefault="00907418" w:rsidP="00A61766">
            <w:pPr>
              <w:spacing w:after="0" w:line="240" w:lineRule="auto"/>
              <w:rPr>
                <w:rFonts w:ascii="Calibri" w:eastAsia="Times New Roman" w:hAnsi="Calibri" w:cs="Times New Roman"/>
                <w:color w:val="000000"/>
              </w:rPr>
            </w:pPr>
            <w:r w:rsidRPr="00A61766">
              <w:rPr>
                <w:rFonts w:ascii="Calibri" w:eastAsia="Times New Roman" w:hAnsi="Calibri" w:cs="Times New Roman"/>
                <w:b/>
                <w:bCs/>
                <w:color w:val="000000"/>
              </w:rPr>
              <w:t>Question 3</w:t>
            </w:r>
            <w:r w:rsidRPr="00A61766">
              <w:rPr>
                <w:rFonts w:ascii="Calibri" w:eastAsia="Times New Roman" w:hAnsi="Calibri" w:cs="Times New Roman"/>
                <w:color w:val="000000"/>
              </w:rPr>
              <w:t xml:space="preserve"> VOCAB</w:t>
            </w:r>
            <w:r>
              <w:rPr>
                <w:rFonts w:ascii="Calibri" w:eastAsia="Times New Roman" w:hAnsi="Calibri" w:cs="Times New Roman"/>
                <w:color w:val="000000"/>
              </w:rPr>
              <w:t xml:space="preserve"> – A spotlighting effect for dramatic purpose is called</w:t>
            </w:r>
          </w:p>
        </w:tc>
      </w:tr>
      <w:tr w:rsidR="00907418" w:rsidRPr="00A61766" w14:paraId="6E6632BF" w14:textId="18957C65" w:rsidTr="00907418">
        <w:trPr>
          <w:trHeight w:val="300"/>
        </w:trPr>
        <w:tc>
          <w:tcPr>
            <w:tcW w:w="10620" w:type="dxa"/>
            <w:tcBorders>
              <w:top w:val="nil"/>
              <w:left w:val="nil"/>
              <w:bottom w:val="nil"/>
              <w:right w:val="nil"/>
            </w:tcBorders>
            <w:shd w:val="clear" w:color="auto" w:fill="auto"/>
            <w:noWrap/>
            <w:vAlign w:val="bottom"/>
            <w:hideMark/>
          </w:tcPr>
          <w:p w14:paraId="21705B2B" w14:textId="74E71D09" w:rsidR="00907418" w:rsidRPr="00A61766" w:rsidRDefault="00907418" w:rsidP="00A61766">
            <w:pPr>
              <w:spacing w:after="0" w:line="240" w:lineRule="auto"/>
              <w:rPr>
                <w:rFonts w:ascii="Calibri" w:eastAsia="Times New Roman" w:hAnsi="Calibri" w:cs="Times New Roman"/>
                <w:color w:val="000000"/>
              </w:rPr>
            </w:pPr>
            <w:r w:rsidRPr="00A61766">
              <w:rPr>
                <w:rFonts w:ascii="Calibri" w:eastAsia="Times New Roman" w:hAnsi="Calibri" w:cs="Times New Roman"/>
                <w:b/>
                <w:bCs/>
                <w:color w:val="000000"/>
              </w:rPr>
              <w:t>Question 4</w:t>
            </w:r>
            <w:r w:rsidRPr="00A61766">
              <w:rPr>
                <w:rFonts w:ascii="Calibri" w:eastAsia="Times New Roman" w:hAnsi="Calibri" w:cs="Times New Roman"/>
                <w:color w:val="000000"/>
              </w:rPr>
              <w:t xml:space="preserve"> STYLE</w:t>
            </w:r>
            <w:r>
              <w:rPr>
                <w:rFonts w:ascii="Calibri" w:eastAsia="Times New Roman" w:hAnsi="Calibri" w:cs="Times New Roman"/>
                <w:color w:val="000000"/>
              </w:rPr>
              <w:t xml:space="preserve"> – Who radically changed Egyptian life by converting to a monotheistic system of religion?</w:t>
            </w:r>
          </w:p>
        </w:tc>
      </w:tr>
      <w:tr w:rsidR="00907418" w:rsidRPr="00A61766" w14:paraId="133D7779" w14:textId="4659AC37" w:rsidTr="00907418">
        <w:trPr>
          <w:trHeight w:val="300"/>
        </w:trPr>
        <w:tc>
          <w:tcPr>
            <w:tcW w:w="10620" w:type="dxa"/>
            <w:tcBorders>
              <w:top w:val="nil"/>
              <w:left w:val="nil"/>
              <w:bottom w:val="nil"/>
              <w:right w:val="nil"/>
            </w:tcBorders>
            <w:shd w:val="clear" w:color="auto" w:fill="auto"/>
            <w:noWrap/>
            <w:vAlign w:val="bottom"/>
            <w:hideMark/>
          </w:tcPr>
          <w:p w14:paraId="61B5B714" w14:textId="6151E491" w:rsidR="00907418" w:rsidRPr="00A61766" w:rsidRDefault="00907418" w:rsidP="00A61766">
            <w:pPr>
              <w:spacing w:after="0" w:line="240" w:lineRule="auto"/>
              <w:rPr>
                <w:rFonts w:ascii="Calibri" w:eastAsia="Times New Roman" w:hAnsi="Calibri" w:cs="Times New Roman"/>
                <w:color w:val="000000"/>
              </w:rPr>
            </w:pPr>
            <w:r w:rsidRPr="00A61766">
              <w:rPr>
                <w:rFonts w:ascii="Calibri" w:eastAsia="Times New Roman" w:hAnsi="Calibri" w:cs="Times New Roman"/>
                <w:b/>
                <w:bCs/>
                <w:color w:val="000000"/>
              </w:rPr>
              <w:t>Question 5</w:t>
            </w:r>
            <w:r w:rsidRPr="00A61766">
              <w:rPr>
                <w:rFonts w:ascii="Calibri" w:eastAsia="Times New Roman" w:hAnsi="Calibri" w:cs="Times New Roman"/>
                <w:color w:val="000000"/>
              </w:rPr>
              <w:t xml:space="preserve"> VOCAB</w:t>
            </w:r>
            <w:r>
              <w:rPr>
                <w:rFonts w:ascii="Calibri" w:eastAsia="Times New Roman" w:hAnsi="Calibri" w:cs="Times New Roman"/>
                <w:color w:val="000000"/>
              </w:rPr>
              <w:t xml:space="preserve"> - ____ was a platform for a temple shrine in the Ancient Near East.</w:t>
            </w:r>
          </w:p>
        </w:tc>
      </w:tr>
      <w:tr w:rsidR="00907418" w:rsidRPr="00A61766" w14:paraId="510BC177" w14:textId="55846967" w:rsidTr="00907418">
        <w:trPr>
          <w:trHeight w:val="300"/>
        </w:trPr>
        <w:tc>
          <w:tcPr>
            <w:tcW w:w="10620" w:type="dxa"/>
            <w:tcBorders>
              <w:top w:val="nil"/>
              <w:left w:val="nil"/>
              <w:bottom w:val="nil"/>
              <w:right w:val="nil"/>
            </w:tcBorders>
            <w:shd w:val="clear" w:color="auto" w:fill="auto"/>
            <w:noWrap/>
            <w:vAlign w:val="bottom"/>
            <w:hideMark/>
          </w:tcPr>
          <w:p w14:paraId="381D2470" w14:textId="185027B1" w:rsidR="00907418" w:rsidRPr="00A61766" w:rsidRDefault="00907418" w:rsidP="00A61766">
            <w:pPr>
              <w:spacing w:after="0" w:line="240" w:lineRule="auto"/>
              <w:rPr>
                <w:rFonts w:ascii="Calibri" w:eastAsia="Times New Roman" w:hAnsi="Calibri" w:cs="Times New Roman"/>
                <w:color w:val="000000"/>
              </w:rPr>
            </w:pPr>
            <w:r w:rsidRPr="00A61766">
              <w:rPr>
                <w:rFonts w:ascii="Calibri" w:eastAsia="Times New Roman" w:hAnsi="Calibri" w:cs="Times New Roman"/>
                <w:b/>
                <w:bCs/>
                <w:color w:val="000000"/>
              </w:rPr>
              <w:t>Question 6</w:t>
            </w:r>
            <w:r w:rsidRPr="00A61766">
              <w:rPr>
                <w:rFonts w:ascii="Calibri" w:eastAsia="Times New Roman" w:hAnsi="Calibri" w:cs="Times New Roman"/>
                <w:color w:val="000000"/>
              </w:rPr>
              <w:t xml:space="preserve"> PEOPLE</w:t>
            </w:r>
            <w:r>
              <w:rPr>
                <w:rFonts w:ascii="Calibri" w:eastAsia="Times New Roman" w:hAnsi="Calibri" w:cs="Times New Roman"/>
                <w:color w:val="000000"/>
              </w:rPr>
              <w:t xml:space="preserve">  - Which of the following is not associated with Renaissance art?</w:t>
            </w:r>
          </w:p>
        </w:tc>
      </w:tr>
      <w:tr w:rsidR="00907418" w:rsidRPr="00A61766" w14:paraId="53A9EBE8" w14:textId="665DD83F" w:rsidTr="00907418">
        <w:trPr>
          <w:trHeight w:val="300"/>
        </w:trPr>
        <w:tc>
          <w:tcPr>
            <w:tcW w:w="10620" w:type="dxa"/>
            <w:tcBorders>
              <w:top w:val="nil"/>
              <w:left w:val="nil"/>
              <w:bottom w:val="nil"/>
              <w:right w:val="nil"/>
            </w:tcBorders>
            <w:shd w:val="clear" w:color="auto" w:fill="auto"/>
            <w:noWrap/>
            <w:vAlign w:val="bottom"/>
            <w:hideMark/>
          </w:tcPr>
          <w:p w14:paraId="4B09D7D5" w14:textId="085CBD4C" w:rsidR="00907418" w:rsidRPr="00A61766" w:rsidRDefault="00907418" w:rsidP="00A61766">
            <w:pPr>
              <w:spacing w:after="0" w:line="240" w:lineRule="auto"/>
              <w:rPr>
                <w:rFonts w:ascii="Calibri" w:eastAsia="Times New Roman" w:hAnsi="Calibri" w:cs="Times New Roman"/>
                <w:color w:val="000000"/>
              </w:rPr>
            </w:pPr>
            <w:r w:rsidRPr="00A61766">
              <w:rPr>
                <w:rFonts w:ascii="Calibri" w:eastAsia="Times New Roman" w:hAnsi="Calibri" w:cs="Times New Roman"/>
                <w:b/>
                <w:bCs/>
                <w:color w:val="000000"/>
              </w:rPr>
              <w:t>Question 7</w:t>
            </w:r>
            <w:r w:rsidRPr="00A61766">
              <w:rPr>
                <w:rFonts w:ascii="Calibri" w:eastAsia="Times New Roman" w:hAnsi="Calibri" w:cs="Times New Roman"/>
                <w:color w:val="000000"/>
              </w:rPr>
              <w:t xml:space="preserve"> STYLE</w:t>
            </w:r>
            <w:r>
              <w:rPr>
                <w:rFonts w:ascii="Calibri" w:eastAsia="Times New Roman" w:hAnsi="Calibri" w:cs="Times New Roman"/>
                <w:color w:val="000000"/>
              </w:rPr>
              <w:t xml:space="preserve"> – Which Roman leader legalized the practice of Christianity in the Empire?</w:t>
            </w:r>
          </w:p>
        </w:tc>
      </w:tr>
      <w:tr w:rsidR="00907418" w:rsidRPr="00A61766" w14:paraId="056F77CA" w14:textId="166BF14F" w:rsidTr="00907418">
        <w:trPr>
          <w:trHeight w:val="300"/>
        </w:trPr>
        <w:tc>
          <w:tcPr>
            <w:tcW w:w="10620" w:type="dxa"/>
            <w:tcBorders>
              <w:top w:val="nil"/>
              <w:left w:val="nil"/>
              <w:bottom w:val="nil"/>
              <w:right w:val="nil"/>
            </w:tcBorders>
            <w:shd w:val="clear" w:color="auto" w:fill="auto"/>
            <w:noWrap/>
            <w:vAlign w:val="bottom"/>
            <w:hideMark/>
          </w:tcPr>
          <w:p w14:paraId="38CC01D7" w14:textId="4C3B25AE" w:rsidR="00907418" w:rsidRPr="00A61766" w:rsidRDefault="00907418" w:rsidP="00A61766">
            <w:pPr>
              <w:spacing w:after="0" w:line="240" w:lineRule="auto"/>
              <w:rPr>
                <w:rFonts w:ascii="Calibri" w:eastAsia="Times New Roman" w:hAnsi="Calibri" w:cs="Times New Roman"/>
                <w:color w:val="000000"/>
              </w:rPr>
            </w:pPr>
            <w:r w:rsidRPr="00A61766">
              <w:rPr>
                <w:rFonts w:ascii="Calibri" w:eastAsia="Times New Roman" w:hAnsi="Calibri" w:cs="Times New Roman"/>
                <w:b/>
                <w:bCs/>
                <w:color w:val="000000"/>
              </w:rPr>
              <w:t xml:space="preserve">Question 8 </w:t>
            </w:r>
            <w:r w:rsidRPr="00A61766">
              <w:rPr>
                <w:rFonts w:ascii="Calibri" w:eastAsia="Times New Roman" w:hAnsi="Calibri" w:cs="Times New Roman"/>
                <w:color w:val="000000"/>
              </w:rPr>
              <w:t>STYLE</w:t>
            </w:r>
            <w:r>
              <w:rPr>
                <w:rFonts w:ascii="Calibri" w:eastAsia="Times New Roman" w:hAnsi="Calibri" w:cs="Times New Roman"/>
                <w:color w:val="000000"/>
              </w:rPr>
              <w:t xml:space="preserve"> – Which of the following was the major Byzantine contribution to architecture?</w:t>
            </w:r>
          </w:p>
        </w:tc>
      </w:tr>
      <w:tr w:rsidR="00907418" w:rsidRPr="00A61766" w14:paraId="343E21FB" w14:textId="315DB413" w:rsidTr="00907418">
        <w:trPr>
          <w:trHeight w:val="300"/>
        </w:trPr>
        <w:tc>
          <w:tcPr>
            <w:tcW w:w="10620" w:type="dxa"/>
            <w:tcBorders>
              <w:top w:val="nil"/>
              <w:left w:val="nil"/>
              <w:bottom w:val="nil"/>
              <w:right w:val="nil"/>
            </w:tcBorders>
            <w:shd w:val="clear" w:color="auto" w:fill="auto"/>
            <w:noWrap/>
            <w:vAlign w:val="bottom"/>
            <w:hideMark/>
          </w:tcPr>
          <w:p w14:paraId="20533C54" w14:textId="74DE4A13" w:rsidR="00907418" w:rsidRPr="00A61766" w:rsidRDefault="00907418" w:rsidP="00A61766">
            <w:pPr>
              <w:spacing w:after="0" w:line="240" w:lineRule="auto"/>
              <w:rPr>
                <w:rFonts w:ascii="Calibri" w:eastAsia="Times New Roman" w:hAnsi="Calibri" w:cs="Times New Roman"/>
                <w:color w:val="000000"/>
              </w:rPr>
            </w:pPr>
            <w:r w:rsidRPr="00A61766">
              <w:rPr>
                <w:rFonts w:ascii="Calibri" w:eastAsia="Times New Roman" w:hAnsi="Calibri" w:cs="Times New Roman"/>
                <w:b/>
                <w:bCs/>
                <w:color w:val="000000"/>
              </w:rPr>
              <w:t>Question 9</w:t>
            </w:r>
            <w:r w:rsidRPr="00A61766">
              <w:rPr>
                <w:rFonts w:ascii="Calibri" w:eastAsia="Times New Roman" w:hAnsi="Calibri" w:cs="Times New Roman"/>
                <w:color w:val="000000"/>
              </w:rPr>
              <w:t xml:space="preserve"> PEOPLE</w:t>
            </w:r>
            <w:r>
              <w:rPr>
                <w:rFonts w:ascii="Calibri" w:eastAsia="Times New Roman" w:hAnsi="Calibri" w:cs="Times New Roman"/>
                <w:color w:val="000000"/>
              </w:rPr>
              <w:t xml:space="preserve"> – Which artist led the way out of the dark ages, ushering in a whole new era of painting?</w:t>
            </w:r>
          </w:p>
        </w:tc>
      </w:tr>
      <w:tr w:rsidR="00907418" w:rsidRPr="00A61766" w14:paraId="7B5485CE" w14:textId="7DEAE948" w:rsidTr="00907418">
        <w:trPr>
          <w:trHeight w:val="300"/>
        </w:trPr>
        <w:tc>
          <w:tcPr>
            <w:tcW w:w="10620" w:type="dxa"/>
            <w:tcBorders>
              <w:top w:val="nil"/>
              <w:left w:val="nil"/>
              <w:bottom w:val="nil"/>
              <w:right w:val="nil"/>
            </w:tcBorders>
            <w:shd w:val="clear" w:color="auto" w:fill="auto"/>
            <w:noWrap/>
            <w:vAlign w:val="bottom"/>
            <w:hideMark/>
          </w:tcPr>
          <w:p w14:paraId="4EAA6E41" w14:textId="243B02B5" w:rsidR="00907418" w:rsidRPr="00A61766" w:rsidRDefault="00907418" w:rsidP="00A61766">
            <w:pPr>
              <w:spacing w:after="0" w:line="240" w:lineRule="auto"/>
              <w:rPr>
                <w:rFonts w:ascii="Calibri" w:eastAsia="Times New Roman" w:hAnsi="Calibri" w:cs="Times New Roman"/>
                <w:color w:val="000000"/>
              </w:rPr>
            </w:pPr>
            <w:r w:rsidRPr="00A61766">
              <w:rPr>
                <w:rFonts w:ascii="Calibri" w:eastAsia="Times New Roman" w:hAnsi="Calibri" w:cs="Times New Roman"/>
                <w:b/>
                <w:bCs/>
                <w:color w:val="000000"/>
              </w:rPr>
              <w:t>Question 10</w:t>
            </w:r>
            <w:r w:rsidRPr="00A61766">
              <w:rPr>
                <w:rFonts w:ascii="Calibri" w:eastAsia="Times New Roman" w:hAnsi="Calibri" w:cs="Times New Roman"/>
                <w:color w:val="000000"/>
              </w:rPr>
              <w:t xml:space="preserve"> VOCAB</w:t>
            </w:r>
            <w:r>
              <w:rPr>
                <w:rFonts w:ascii="Calibri" w:eastAsia="Times New Roman" w:hAnsi="Calibri" w:cs="Times New Roman"/>
                <w:color w:val="000000"/>
              </w:rPr>
              <w:t xml:space="preserve"> – Which of the following are characteristic features of high Gothic architecture?</w:t>
            </w:r>
          </w:p>
        </w:tc>
      </w:tr>
      <w:tr w:rsidR="00907418" w:rsidRPr="00A61766" w14:paraId="7524101A" w14:textId="1D8CEA08" w:rsidTr="00907418">
        <w:trPr>
          <w:trHeight w:val="300"/>
        </w:trPr>
        <w:tc>
          <w:tcPr>
            <w:tcW w:w="10620" w:type="dxa"/>
            <w:tcBorders>
              <w:top w:val="nil"/>
              <w:left w:val="nil"/>
              <w:bottom w:val="nil"/>
              <w:right w:val="nil"/>
            </w:tcBorders>
            <w:shd w:val="clear" w:color="auto" w:fill="auto"/>
            <w:noWrap/>
            <w:vAlign w:val="bottom"/>
            <w:hideMark/>
          </w:tcPr>
          <w:p w14:paraId="749E3A00" w14:textId="4B4195B2" w:rsidR="00907418" w:rsidRPr="00A61766" w:rsidRDefault="00907418" w:rsidP="00A61766">
            <w:pPr>
              <w:spacing w:after="0" w:line="240" w:lineRule="auto"/>
              <w:rPr>
                <w:rFonts w:ascii="Calibri" w:eastAsia="Times New Roman" w:hAnsi="Calibri" w:cs="Times New Roman"/>
                <w:color w:val="000000"/>
              </w:rPr>
            </w:pPr>
            <w:r w:rsidRPr="00A61766">
              <w:rPr>
                <w:rFonts w:ascii="Calibri" w:eastAsia="Times New Roman" w:hAnsi="Calibri" w:cs="Times New Roman"/>
                <w:b/>
                <w:bCs/>
                <w:color w:val="000000"/>
              </w:rPr>
              <w:t>Question 11</w:t>
            </w:r>
            <w:r w:rsidRPr="00A61766">
              <w:rPr>
                <w:rFonts w:ascii="Calibri" w:eastAsia="Times New Roman" w:hAnsi="Calibri" w:cs="Times New Roman"/>
                <w:color w:val="000000"/>
              </w:rPr>
              <w:t xml:space="preserve"> VOCAB</w:t>
            </w:r>
            <w:r>
              <w:rPr>
                <w:rFonts w:ascii="Calibri" w:eastAsia="Times New Roman" w:hAnsi="Calibri" w:cs="Times New Roman"/>
                <w:color w:val="000000"/>
              </w:rPr>
              <w:t xml:space="preserve"> – This was a system for creating illusion of distance based on geometry</w:t>
            </w:r>
          </w:p>
        </w:tc>
      </w:tr>
      <w:tr w:rsidR="00907418" w:rsidRPr="00A61766" w14:paraId="79B286B5" w14:textId="55E7B8C6" w:rsidTr="00907418">
        <w:trPr>
          <w:trHeight w:val="300"/>
        </w:trPr>
        <w:tc>
          <w:tcPr>
            <w:tcW w:w="10620" w:type="dxa"/>
            <w:tcBorders>
              <w:top w:val="nil"/>
              <w:left w:val="nil"/>
              <w:bottom w:val="nil"/>
              <w:right w:val="nil"/>
            </w:tcBorders>
            <w:shd w:val="clear" w:color="auto" w:fill="auto"/>
            <w:noWrap/>
            <w:vAlign w:val="bottom"/>
            <w:hideMark/>
          </w:tcPr>
          <w:p w14:paraId="038AAA43" w14:textId="55CDCD7B" w:rsidR="00907418" w:rsidRPr="00A61766" w:rsidRDefault="00907418" w:rsidP="00A61766">
            <w:pPr>
              <w:spacing w:after="0" w:line="240" w:lineRule="auto"/>
              <w:rPr>
                <w:rFonts w:ascii="Calibri" w:eastAsia="Times New Roman" w:hAnsi="Calibri" w:cs="Times New Roman"/>
                <w:color w:val="000000"/>
              </w:rPr>
            </w:pPr>
            <w:r w:rsidRPr="00A61766">
              <w:rPr>
                <w:rFonts w:ascii="Calibri" w:eastAsia="Times New Roman" w:hAnsi="Calibri" w:cs="Times New Roman"/>
                <w:b/>
                <w:bCs/>
                <w:color w:val="000000"/>
              </w:rPr>
              <w:t>Question 12</w:t>
            </w:r>
            <w:r w:rsidRPr="00A61766">
              <w:rPr>
                <w:rFonts w:ascii="Calibri" w:eastAsia="Times New Roman" w:hAnsi="Calibri" w:cs="Times New Roman"/>
                <w:color w:val="000000"/>
              </w:rPr>
              <w:t xml:space="preserve"> STYLE</w:t>
            </w:r>
            <w:r>
              <w:rPr>
                <w:rFonts w:ascii="Calibri" w:eastAsia="Times New Roman" w:hAnsi="Calibri" w:cs="Times New Roman"/>
                <w:color w:val="000000"/>
              </w:rPr>
              <w:t xml:space="preserve"> – The Greeks developed ____, also called weight shift, which provided a more natural stance for their sculpted figures.</w:t>
            </w:r>
          </w:p>
        </w:tc>
      </w:tr>
      <w:tr w:rsidR="00907418" w:rsidRPr="00A61766" w14:paraId="3E954310" w14:textId="1B2FD18E" w:rsidTr="00907418">
        <w:trPr>
          <w:trHeight w:val="300"/>
        </w:trPr>
        <w:tc>
          <w:tcPr>
            <w:tcW w:w="10620" w:type="dxa"/>
            <w:tcBorders>
              <w:top w:val="nil"/>
              <w:left w:val="nil"/>
              <w:bottom w:val="nil"/>
              <w:right w:val="nil"/>
            </w:tcBorders>
            <w:shd w:val="clear" w:color="auto" w:fill="auto"/>
            <w:noWrap/>
            <w:vAlign w:val="bottom"/>
            <w:hideMark/>
          </w:tcPr>
          <w:p w14:paraId="50E6BAB3" w14:textId="275E4350" w:rsidR="00907418" w:rsidRPr="00A61766" w:rsidRDefault="00907418" w:rsidP="00A61766">
            <w:pPr>
              <w:spacing w:after="0" w:line="240" w:lineRule="auto"/>
              <w:rPr>
                <w:rFonts w:ascii="Calibri" w:eastAsia="Times New Roman" w:hAnsi="Calibri" w:cs="Times New Roman"/>
                <w:color w:val="000000"/>
              </w:rPr>
            </w:pPr>
            <w:r w:rsidRPr="00A61766">
              <w:rPr>
                <w:rFonts w:ascii="Calibri" w:eastAsia="Times New Roman" w:hAnsi="Calibri" w:cs="Times New Roman"/>
                <w:b/>
                <w:bCs/>
                <w:color w:val="000000"/>
              </w:rPr>
              <w:t>Question 13</w:t>
            </w:r>
            <w:r w:rsidRPr="00A61766">
              <w:rPr>
                <w:rFonts w:ascii="Calibri" w:eastAsia="Times New Roman" w:hAnsi="Calibri" w:cs="Times New Roman"/>
                <w:color w:val="000000"/>
              </w:rPr>
              <w:t xml:space="preserve"> VOCAB</w:t>
            </w:r>
            <w:r>
              <w:rPr>
                <w:rFonts w:ascii="Calibri" w:eastAsia="Times New Roman" w:hAnsi="Calibri" w:cs="Times New Roman"/>
                <w:color w:val="000000"/>
              </w:rPr>
              <w:t xml:space="preserve"> – A ___ is an almond shaped full body halo representing the union of Heaven and earth.</w:t>
            </w:r>
          </w:p>
        </w:tc>
      </w:tr>
      <w:tr w:rsidR="00907418" w:rsidRPr="00A61766" w14:paraId="0575F90F" w14:textId="17B511A6" w:rsidTr="00907418">
        <w:trPr>
          <w:trHeight w:val="300"/>
        </w:trPr>
        <w:tc>
          <w:tcPr>
            <w:tcW w:w="10620" w:type="dxa"/>
            <w:tcBorders>
              <w:top w:val="nil"/>
              <w:left w:val="nil"/>
              <w:bottom w:val="nil"/>
              <w:right w:val="nil"/>
            </w:tcBorders>
            <w:shd w:val="clear" w:color="auto" w:fill="auto"/>
            <w:noWrap/>
            <w:vAlign w:val="bottom"/>
            <w:hideMark/>
          </w:tcPr>
          <w:p w14:paraId="7F3A9513" w14:textId="5EFF0CAF" w:rsidR="00907418" w:rsidRPr="00A61766" w:rsidRDefault="00907418" w:rsidP="00A61766">
            <w:pPr>
              <w:spacing w:after="0" w:line="240" w:lineRule="auto"/>
              <w:rPr>
                <w:rFonts w:ascii="Calibri" w:eastAsia="Times New Roman" w:hAnsi="Calibri" w:cs="Times New Roman"/>
                <w:color w:val="000000"/>
              </w:rPr>
            </w:pPr>
            <w:r w:rsidRPr="00A61766">
              <w:rPr>
                <w:rFonts w:ascii="Calibri" w:eastAsia="Times New Roman" w:hAnsi="Calibri" w:cs="Times New Roman"/>
                <w:b/>
                <w:bCs/>
                <w:color w:val="000000"/>
              </w:rPr>
              <w:t>Question 14</w:t>
            </w:r>
            <w:r w:rsidRPr="00A61766">
              <w:rPr>
                <w:rFonts w:ascii="Calibri" w:eastAsia="Times New Roman" w:hAnsi="Calibri" w:cs="Times New Roman"/>
                <w:color w:val="000000"/>
              </w:rPr>
              <w:t xml:space="preserve"> STYLE/VOCAB</w:t>
            </w:r>
            <w:r>
              <w:rPr>
                <w:rFonts w:ascii="Calibri" w:eastAsia="Times New Roman" w:hAnsi="Calibri" w:cs="Times New Roman"/>
                <w:color w:val="000000"/>
              </w:rPr>
              <w:t xml:space="preserve"> – After this man’s relief sculpture was not chosen in a contest, he went on to become the most important architect of the Italian Renaissance</w:t>
            </w:r>
          </w:p>
        </w:tc>
      </w:tr>
      <w:tr w:rsidR="00907418" w:rsidRPr="00A61766" w14:paraId="5269F079" w14:textId="0831C99D" w:rsidTr="00907418">
        <w:trPr>
          <w:trHeight w:val="300"/>
        </w:trPr>
        <w:tc>
          <w:tcPr>
            <w:tcW w:w="10620" w:type="dxa"/>
            <w:tcBorders>
              <w:top w:val="nil"/>
              <w:left w:val="nil"/>
              <w:bottom w:val="nil"/>
              <w:right w:val="nil"/>
            </w:tcBorders>
            <w:shd w:val="clear" w:color="auto" w:fill="auto"/>
            <w:noWrap/>
            <w:vAlign w:val="bottom"/>
            <w:hideMark/>
          </w:tcPr>
          <w:p w14:paraId="19E0715E" w14:textId="4385067E" w:rsidR="00907418" w:rsidRPr="00A61766" w:rsidRDefault="00907418" w:rsidP="00A61766">
            <w:pPr>
              <w:spacing w:after="0" w:line="240" w:lineRule="auto"/>
              <w:rPr>
                <w:rFonts w:ascii="Calibri" w:eastAsia="Times New Roman" w:hAnsi="Calibri" w:cs="Times New Roman"/>
                <w:color w:val="000000"/>
              </w:rPr>
            </w:pPr>
            <w:r w:rsidRPr="00A61766">
              <w:rPr>
                <w:rFonts w:ascii="Calibri" w:eastAsia="Times New Roman" w:hAnsi="Calibri" w:cs="Times New Roman"/>
                <w:b/>
                <w:bCs/>
                <w:color w:val="000000"/>
              </w:rPr>
              <w:t>Question 15</w:t>
            </w:r>
            <w:r w:rsidRPr="00A61766">
              <w:rPr>
                <w:rFonts w:ascii="Calibri" w:eastAsia="Times New Roman" w:hAnsi="Calibri" w:cs="Times New Roman"/>
                <w:color w:val="000000"/>
              </w:rPr>
              <w:t xml:space="preserve"> ARTIST</w:t>
            </w:r>
            <w:r>
              <w:rPr>
                <w:rFonts w:ascii="Calibri" w:eastAsia="Times New Roman" w:hAnsi="Calibri" w:cs="Times New Roman"/>
                <w:color w:val="000000"/>
              </w:rPr>
              <w:t xml:space="preserve"> – Which of the following does not refer to Neoplastici</w:t>
            </w:r>
            <w:r w:rsidR="00A070DB">
              <w:rPr>
                <w:rFonts w:ascii="Calibri" w:eastAsia="Times New Roman" w:hAnsi="Calibri" w:cs="Times New Roman"/>
                <w:color w:val="000000"/>
              </w:rPr>
              <w:t>s</w:t>
            </w:r>
            <w:r>
              <w:rPr>
                <w:rFonts w:ascii="Calibri" w:eastAsia="Times New Roman" w:hAnsi="Calibri" w:cs="Times New Roman"/>
                <w:color w:val="000000"/>
              </w:rPr>
              <w:t>m</w:t>
            </w:r>
          </w:p>
        </w:tc>
      </w:tr>
      <w:tr w:rsidR="00907418" w:rsidRPr="00A61766" w14:paraId="0CA6E4C8" w14:textId="7E4A82CE" w:rsidTr="00907418">
        <w:trPr>
          <w:trHeight w:val="300"/>
        </w:trPr>
        <w:tc>
          <w:tcPr>
            <w:tcW w:w="10620" w:type="dxa"/>
            <w:tcBorders>
              <w:top w:val="nil"/>
              <w:left w:val="nil"/>
              <w:bottom w:val="nil"/>
              <w:right w:val="nil"/>
            </w:tcBorders>
            <w:shd w:val="clear" w:color="auto" w:fill="auto"/>
            <w:noWrap/>
            <w:vAlign w:val="bottom"/>
            <w:hideMark/>
          </w:tcPr>
          <w:p w14:paraId="453B3D2E" w14:textId="4851883A" w:rsidR="00907418" w:rsidRPr="00907418" w:rsidRDefault="00907418" w:rsidP="00A61766">
            <w:pPr>
              <w:spacing w:after="0" w:line="240" w:lineRule="auto"/>
              <w:rPr>
                <w:rFonts w:ascii="Calibri" w:eastAsia="Times New Roman" w:hAnsi="Calibri" w:cs="Times New Roman"/>
                <w:i/>
                <w:color w:val="000000"/>
              </w:rPr>
            </w:pPr>
            <w:r w:rsidRPr="00A61766">
              <w:rPr>
                <w:rFonts w:ascii="Calibri" w:eastAsia="Times New Roman" w:hAnsi="Calibri" w:cs="Times New Roman"/>
                <w:b/>
                <w:bCs/>
                <w:color w:val="000000"/>
              </w:rPr>
              <w:t>Question 16</w:t>
            </w:r>
            <w:r w:rsidRPr="00A61766">
              <w:rPr>
                <w:rFonts w:ascii="Calibri" w:eastAsia="Times New Roman" w:hAnsi="Calibri" w:cs="Times New Roman"/>
                <w:color w:val="000000"/>
              </w:rPr>
              <w:t xml:space="preserve"> STYLE</w:t>
            </w:r>
            <w:r>
              <w:rPr>
                <w:rFonts w:ascii="Calibri" w:eastAsia="Times New Roman" w:hAnsi="Calibri" w:cs="Times New Roman"/>
                <w:color w:val="000000"/>
              </w:rPr>
              <w:t xml:space="preserve"> – The following terms apply to Ghiberti’s </w:t>
            </w:r>
            <w:r>
              <w:rPr>
                <w:rFonts w:ascii="Calibri" w:eastAsia="Times New Roman" w:hAnsi="Calibri" w:cs="Times New Roman"/>
                <w:i/>
                <w:color w:val="000000"/>
              </w:rPr>
              <w:t>Sacrifice of Isaac</w:t>
            </w:r>
          </w:p>
        </w:tc>
      </w:tr>
      <w:tr w:rsidR="00907418" w:rsidRPr="00A61766" w14:paraId="10D925A1" w14:textId="222E4D70" w:rsidTr="00907418">
        <w:trPr>
          <w:trHeight w:val="300"/>
        </w:trPr>
        <w:tc>
          <w:tcPr>
            <w:tcW w:w="10620" w:type="dxa"/>
            <w:tcBorders>
              <w:top w:val="nil"/>
              <w:left w:val="nil"/>
              <w:bottom w:val="nil"/>
              <w:right w:val="nil"/>
            </w:tcBorders>
            <w:shd w:val="clear" w:color="auto" w:fill="auto"/>
            <w:noWrap/>
            <w:vAlign w:val="bottom"/>
            <w:hideMark/>
          </w:tcPr>
          <w:p w14:paraId="79A382AD" w14:textId="3B20806D" w:rsidR="00907418" w:rsidRPr="00A61766" w:rsidRDefault="00907418" w:rsidP="00A61766">
            <w:pPr>
              <w:spacing w:after="0" w:line="240" w:lineRule="auto"/>
              <w:rPr>
                <w:rFonts w:ascii="Calibri" w:eastAsia="Times New Roman" w:hAnsi="Calibri" w:cs="Times New Roman"/>
                <w:color w:val="000000"/>
              </w:rPr>
            </w:pPr>
            <w:r w:rsidRPr="00A61766">
              <w:rPr>
                <w:rFonts w:ascii="Calibri" w:eastAsia="Times New Roman" w:hAnsi="Calibri" w:cs="Times New Roman"/>
                <w:b/>
                <w:bCs/>
                <w:color w:val="000000"/>
              </w:rPr>
              <w:t>Question 17</w:t>
            </w:r>
            <w:r w:rsidRPr="00A61766">
              <w:rPr>
                <w:rFonts w:ascii="Calibri" w:eastAsia="Times New Roman" w:hAnsi="Calibri" w:cs="Times New Roman"/>
                <w:color w:val="000000"/>
              </w:rPr>
              <w:t xml:space="preserve"> PEOPLE</w:t>
            </w:r>
            <w:r>
              <w:rPr>
                <w:rFonts w:ascii="Calibri" w:eastAsia="Times New Roman" w:hAnsi="Calibri" w:cs="Times New Roman"/>
                <w:color w:val="000000"/>
              </w:rPr>
              <w:t xml:space="preserve"> – Dada was a movement in art that was</w:t>
            </w:r>
          </w:p>
        </w:tc>
      </w:tr>
      <w:tr w:rsidR="00907418" w:rsidRPr="00A61766" w14:paraId="16A1F329" w14:textId="50E85573" w:rsidTr="00907418">
        <w:trPr>
          <w:trHeight w:val="300"/>
        </w:trPr>
        <w:tc>
          <w:tcPr>
            <w:tcW w:w="10620" w:type="dxa"/>
            <w:tcBorders>
              <w:top w:val="nil"/>
              <w:left w:val="nil"/>
              <w:bottom w:val="nil"/>
              <w:right w:val="nil"/>
            </w:tcBorders>
            <w:shd w:val="clear" w:color="auto" w:fill="auto"/>
            <w:noWrap/>
            <w:vAlign w:val="bottom"/>
            <w:hideMark/>
          </w:tcPr>
          <w:p w14:paraId="758551D9" w14:textId="55558870" w:rsidR="00907418" w:rsidRPr="00A61766" w:rsidRDefault="00907418" w:rsidP="00A61766">
            <w:pPr>
              <w:spacing w:after="0" w:line="240" w:lineRule="auto"/>
              <w:rPr>
                <w:rFonts w:ascii="Calibri" w:eastAsia="Times New Roman" w:hAnsi="Calibri" w:cs="Times New Roman"/>
                <w:color w:val="000000"/>
              </w:rPr>
            </w:pPr>
            <w:r w:rsidRPr="00A61766">
              <w:rPr>
                <w:rFonts w:ascii="Calibri" w:eastAsia="Times New Roman" w:hAnsi="Calibri" w:cs="Times New Roman"/>
                <w:b/>
                <w:bCs/>
                <w:color w:val="000000"/>
              </w:rPr>
              <w:t>Question 18</w:t>
            </w:r>
            <w:r w:rsidRPr="00A61766">
              <w:rPr>
                <w:rFonts w:ascii="Calibri" w:eastAsia="Times New Roman" w:hAnsi="Calibri" w:cs="Times New Roman"/>
                <w:color w:val="000000"/>
              </w:rPr>
              <w:t xml:space="preserve"> PEOPLE/ARTIST</w:t>
            </w:r>
            <w:r>
              <w:rPr>
                <w:rFonts w:ascii="Calibri" w:eastAsia="Times New Roman" w:hAnsi="Calibri" w:cs="Times New Roman"/>
                <w:color w:val="000000"/>
              </w:rPr>
              <w:t xml:space="preserve"> – Which of the following is not associated with Abstract Expressionism</w:t>
            </w:r>
          </w:p>
        </w:tc>
      </w:tr>
      <w:tr w:rsidR="00907418" w:rsidRPr="00A61766" w14:paraId="62892F0A" w14:textId="667564E2" w:rsidTr="00907418">
        <w:trPr>
          <w:trHeight w:val="300"/>
        </w:trPr>
        <w:tc>
          <w:tcPr>
            <w:tcW w:w="10620" w:type="dxa"/>
            <w:tcBorders>
              <w:top w:val="nil"/>
              <w:left w:val="nil"/>
              <w:bottom w:val="nil"/>
              <w:right w:val="nil"/>
            </w:tcBorders>
            <w:shd w:val="clear" w:color="auto" w:fill="auto"/>
            <w:noWrap/>
            <w:vAlign w:val="bottom"/>
            <w:hideMark/>
          </w:tcPr>
          <w:p w14:paraId="5DFA3326" w14:textId="6DD8E8DB" w:rsidR="00907418" w:rsidRPr="00A61766" w:rsidRDefault="00907418" w:rsidP="00A61766">
            <w:pPr>
              <w:spacing w:after="0" w:line="240" w:lineRule="auto"/>
              <w:rPr>
                <w:rFonts w:ascii="Calibri" w:eastAsia="Times New Roman" w:hAnsi="Calibri" w:cs="Times New Roman"/>
                <w:color w:val="000000"/>
              </w:rPr>
            </w:pPr>
            <w:r w:rsidRPr="00A61766">
              <w:rPr>
                <w:rFonts w:ascii="Calibri" w:eastAsia="Times New Roman" w:hAnsi="Calibri" w:cs="Times New Roman"/>
                <w:b/>
                <w:bCs/>
                <w:color w:val="000000"/>
              </w:rPr>
              <w:t>Question 19</w:t>
            </w:r>
            <w:r w:rsidRPr="00A61766">
              <w:rPr>
                <w:rFonts w:ascii="Calibri" w:eastAsia="Times New Roman" w:hAnsi="Calibri" w:cs="Times New Roman"/>
                <w:color w:val="000000"/>
              </w:rPr>
              <w:t xml:space="preserve"> ART/VOCAB</w:t>
            </w:r>
            <w:r>
              <w:rPr>
                <w:rFonts w:ascii="Calibri" w:eastAsia="Times New Roman" w:hAnsi="Calibri" w:cs="Times New Roman"/>
                <w:color w:val="000000"/>
              </w:rPr>
              <w:t xml:space="preserve"> </w:t>
            </w:r>
            <w:r w:rsidR="00A070DB">
              <w:rPr>
                <w:rFonts w:ascii="Calibri" w:eastAsia="Times New Roman" w:hAnsi="Calibri" w:cs="Times New Roman"/>
                <w:color w:val="000000"/>
              </w:rPr>
              <w:t>–</w:t>
            </w:r>
            <w:r>
              <w:rPr>
                <w:rFonts w:ascii="Calibri" w:eastAsia="Times New Roman" w:hAnsi="Calibri" w:cs="Times New Roman"/>
                <w:color w:val="000000"/>
              </w:rPr>
              <w:t xml:space="preserve"> </w:t>
            </w:r>
            <w:r w:rsidR="00A070DB">
              <w:rPr>
                <w:rFonts w:ascii="Calibri" w:eastAsia="Times New Roman" w:hAnsi="Calibri" w:cs="Times New Roman"/>
                <w:color w:val="000000"/>
              </w:rPr>
              <w:t>Which of the following persons lead the Carolingian Renaissance and encouraged the prolific production of illuminated manuscripts?</w:t>
            </w:r>
          </w:p>
        </w:tc>
      </w:tr>
      <w:tr w:rsidR="00907418" w:rsidRPr="00A61766" w14:paraId="4A91C5FC" w14:textId="2882F27A" w:rsidTr="00907418">
        <w:trPr>
          <w:trHeight w:val="300"/>
        </w:trPr>
        <w:tc>
          <w:tcPr>
            <w:tcW w:w="10620" w:type="dxa"/>
            <w:tcBorders>
              <w:top w:val="nil"/>
              <w:left w:val="nil"/>
              <w:bottom w:val="nil"/>
              <w:right w:val="nil"/>
            </w:tcBorders>
            <w:shd w:val="clear" w:color="auto" w:fill="auto"/>
            <w:noWrap/>
            <w:vAlign w:val="bottom"/>
            <w:hideMark/>
          </w:tcPr>
          <w:p w14:paraId="43DE8499" w14:textId="4048A68B" w:rsidR="00907418" w:rsidRPr="00A61766" w:rsidRDefault="00907418" w:rsidP="00A61766">
            <w:pPr>
              <w:spacing w:after="0" w:line="240" w:lineRule="auto"/>
              <w:rPr>
                <w:rFonts w:ascii="Calibri" w:eastAsia="Times New Roman" w:hAnsi="Calibri" w:cs="Times New Roman"/>
                <w:color w:val="000000"/>
              </w:rPr>
            </w:pPr>
            <w:r w:rsidRPr="00A61766">
              <w:rPr>
                <w:rFonts w:ascii="Calibri" w:eastAsia="Times New Roman" w:hAnsi="Calibri" w:cs="Times New Roman"/>
                <w:b/>
                <w:bCs/>
                <w:color w:val="000000"/>
              </w:rPr>
              <w:t>Question 20</w:t>
            </w:r>
            <w:r w:rsidRPr="00A61766">
              <w:rPr>
                <w:rFonts w:ascii="Calibri" w:eastAsia="Times New Roman" w:hAnsi="Calibri" w:cs="Times New Roman"/>
                <w:color w:val="000000"/>
              </w:rPr>
              <w:t xml:space="preserve"> STYLE</w:t>
            </w:r>
            <w:r w:rsidR="00A070DB">
              <w:rPr>
                <w:rFonts w:ascii="Calibri" w:eastAsia="Times New Roman" w:hAnsi="Calibri" w:cs="Times New Roman"/>
                <w:color w:val="000000"/>
              </w:rPr>
              <w:t xml:space="preserve"> – Realism as a 19</w:t>
            </w:r>
            <w:r w:rsidR="00A070DB" w:rsidRPr="00A070DB">
              <w:rPr>
                <w:rFonts w:ascii="Calibri" w:eastAsia="Times New Roman" w:hAnsi="Calibri" w:cs="Times New Roman"/>
                <w:color w:val="000000"/>
                <w:vertAlign w:val="superscript"/>
              </w:rPr>
              <w:t>th</w:t>
            </w:r>
            <w:r w:rsidR="00A070DB">
              <w:rPr>
                <w:rFonts w:ascii="Calibri" w:eastAsia="Times New Roman" w:hAnsi="Calibri" w:cs="Times New Roman"/>
                <w:color w:val="000000"/>
              </w:rPr>
              <w:t xml:space="preserve"> Century style in art is best characterized by</w:t>
            </w:r>
          </w:p>
        </w:tc>
      </w:tr>
    </w:tbl>
    <w:p w14:paraId="506D75AF" w14:textId="77777777" w:rsidR="00A61766" w:rsidRDefault="00A61766" w:rsidP="00FA3DC7"/>
    <w:sectPr w:rsidR="00A61766" w:rsidSect="005262EA">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3BA88" w14:textId="77777777" w:rsidR="00F57D22" w:rsidRDefault="00F57D22" w:rsidP="005262EA">
      <w:pPr>
        <w:spacing w:after="0" w:line="240" w:lineRule="auto"/>
      </w:pPr>
      <w:r>
        <w:separator/>
      </w:r>
    </w:p>
  </w:endnote>
  <w:endnote w:type="continuationSeparator" w:id="0">
    <w:p w14:paraId="6789ED38" w14:textId="77777777" w:rsidR="00F57D22" w:rsidRDefault="00F57D22" w:rsidP="0052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B3B66" w14:textId="77777777" w:rsidR="00F57D22" w:rsidRDefault="00F57D22" w:rsidP="005262EA">
      <w:pPr>
        <w:spacing w:after="0" w:line="240" w:lineRule="auto"/>
      </w:pPr>
      <w:r>
        <w:separator/>
      </w:r>
    </w:p>
  </w:footnote>
  <w:footnote w:type="continuationSeparator" w:id="0">
    <w:p w14:paraId="664ECEB7" w14:textId="77777777" w:rsidR="00F57D22" w:rsidRDefault="00F57D22" w:rsidP="005262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753E"/>
    <w:multiLevelType w:val="hybridMultilevel"/>
    <w:tmpl w:val="6DFE3AD6"/>
    <w:lvl w:ilvl="0" w:tplc="EF400028">
      <w:start w:val="2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6086D"/>
    <w:multiLevelType w:val="hybridMultilevel"/>
    <w:tmpl w:val="595A63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E0C15"/>
    <w:multiLevelType w:val="hybridMultilevel"/>
    <w:tmpl w:val="02D039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B7618"/>
    <w:multiLevelType w:val="hybridMultilevel"/>
    <w:tmpl w:val="0AC47074"/>
    <w:lvl w:ilvl="0" w:tplc="CC5C6B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E986EF6"/>
    <w:multiLevelType w:val="hybridMultilevel"/>
    <w:tmpl w:val="C3D429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4535A9"/>
    <w:multiLevelType w:val="hybridMultilevel"/>
    <w:tmpl w:val="A6CEA2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B32E63"/>
    <w:multiLevelType w:val="hybridMultilevel"/>
    <w:tmpl w:val="9F3AE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DC7"/>
    <w:rsid w:val="00005C64"/>
    <w:rsid w:val="00010455"/>
    <w:rsid w:val="00011EE0"/>
    <w:rsid w:val="000122E0"/>
    <w:rsid w:val="000277FC"/>
    <w:rsid w:val="00036CCB"/>
    <w:rsid w:val="000510FC"/>
    <w:rsid w:val="00056B51"/>
    <w:rsid w:val="00064D30"/>
    <w:rsid w:val="00073990"/>
    <w:rsid w:val="00082A06"/>
    <w:rsid w:val="000C2539"/>
    <w:rsid w:val="000C59CD"/>
    <w:rsid w:val="000D3B88"/>
    <w:rsid w:val="000D5C4A"/>
    <w:rsid w:val="000D75A0"/>
    <w:rsid w:val="000F68E7"/>
    <w:rsid w:val="00101742"/>
    <w:rsid w:val="00151BB2"/>
    <w:rsid w:val="001536A3"/>
    <w:rsid w:val="00160F02"/>
    <w:rsid w:val="001626F2"/>
    <w:rsid w:val="0016375C"/>
    <w:rsid w:val="00182B08"/>
    <w:rsid w:val="001A68B6"/>
    <w:rsid w:val="001C2D2D"/>
    <w:rsid w:val="001D7F1F"/>
    <w:rsid w:val="001F4FDB"/>
    <w:rsid w:val="00203A6E"/>
    <w:rsid w:val="00216AF6"/>
    <w:rsid w:val="00244B64"/>
    <w:rsid w:val="00255759"/>
    <w:rsid w:val="00277FCB"/>
    <w:rsid w:val="00292487"/>
    <w:rsid w:val="00292C0A"/>
    <w:rsid w:val="002A35D3"/>
    <w:rsid w:val="002A434E"/>
    <w:rsid w:val="002A56F0"/>
    <w:rsid w:val="002A57AD"/>
    <w:rsid w:val="002C261B"/>
    <w:rsid w:val="002C5D78"/>
    <w:rsid w:val="002D6BEA"/>
    <w:rsid w:val="002E7B52"/>
    <w:rsid w:val="00302036"/>
    <w:rsid w:val="00310A72"/>
    <w:rsid w:val="00331AEF"/>
    <w:rsid w:val="00353AE2"/>
    <w:rsid w:val="003634B3"/>
    <w:rsid w:val="0036392E"/>
    <w:rsid w:val="00372FCF"/>
    <w:rsid w:val="00381EA9"/>
    <w:rsid w:val="003931A0"/>
    <w:rsid w:val="003D2C45"/>
    <w:rsid w:val="003F3F15"/>
    <w:rsid w:val="003F57BA"/>
    <w:rsid w:val="00401125"/>
    <w:rsid w:val="004015F9"/>
    <w:rsid w:val="004017BA"/>
    <w:rsid w:val="00424F31"/>
    <w:rsid w:val="0044359D"/>
    <w:rsid w:val="00444035"/>
    <w:rsid w:val="004470EF"/>
    <w:rsid w:val="0045232D"/>
    <w:rsid w:val="00464119"/>
    <w:rsid w:val="00485AD2"/>
    <w:rsid w:val="00486069"/>
    <w:rsid w:val="00486FF7"/>
    <w:rsid w:val="004A2BBA"/>
    <w:rsid w:val="004A76A4"/>
    <w:rsid w:val="004C171C"/>
    <w:rsid w:val="004D04BA"/>
    <w:rsid w:val="004D435A"/>
    <w:rsid w:val="004D799C"/>
    <w:rsid w:val="004E0496"/>
    <w:rsid w:val="004E1627"/>
    <w:rsid w:val="004F174F"/>
    <w:rsid w:val="004F6A64"/>
    <w:rsid w:val="00507EAA"/>
    <w:rsid w:val="005164A1"/>
    <w:rsid w:val="005262EA"/>
    <w:rsid w:val="00544E95"/>
    <w:rsid w:val="00557C39"/>
    <w:rsid w:val="00564D90"/>
    <w:rsid w:val="00582D65"/>
    <w:rsid w:val="005A1674"/>
    <w:rsid w:val="005C02BF"/>
    <w:rsid w:val="005D08D6"/>
    <w:rsid w:val="005D44E1"/>
    <w:rsid w:val="005E20B8"/>
    <w:rsid w:val="005E25FA"/>
    <w:rsid w:val="005E4D66"/>
    <w:rsid w:val="00611092"/>
    <w:rsid w:val="00622337"/>
    <w:rsid w:val="00631432"/>
    <w:rsid w:val="00647981"/>
    <w:rsid w:val="00654071"/>
    <w:rsid w:val="006D2F0B"/>
    <w:rsid w:val="006D6EBE"/>
    <w:rsid w:val="006F0E35"/>
    <w:rsid w:val="006F4648"/>
    <w:rsid w:val="00713C9E"/>
    <w:rsid w:val="00722B5B"/>
    <w:rsid w:val="00734CF5"/>
    <w:rsid w:val="007409BB"/>
    <w:rsid w:val="00745A8E"/>
    <w:rsid w:val="00752703"/>
    <w:rsid w:val="00760820"/>
    <w:rsid w:val="00760D81"/>
    <w:rsid w:val="00764F39"/>
    <w:rsid w:val="007906E0"/>
    <w:rsid w:val="007A604D"/>
    <w:rsid w:val="007C1797"/>
    <w:rsid w:val="007C1CC3"/>
    <w:rsid w:val="007C3863"/>
    <w:rsid w:val="007C63FA"/>
    <w:rsid w:val="007C75FC"/>
    <w:rsid w:val="007D2133"/>
    <w:rsid w:val="007F7BBA"/>
    <w:rsid w:val="0081535E"/>
    <w:rsid w:val="00831132"/>
    <w:rsid w:val="00857701"/>
    <w:rsid w:val="00860F3F"/>
    <w:rsid w:val="008644CD"/>
    <w:rsid w:val="00883076"/>
    <w:rsid w:val="0088470D"/>
    <w:rsid w:val="008A660F"/>
    <w:rsid w:val="008D048A"/>
    <w:rsid w:val="008E1359"/>
    <w:rsid w:val="0090023C"/>
    <w:rsid w:val="00907418"/>
    <w:rsid w:val="00972C1B"/>
    <w:rsid w:val="009A4D77"/>
    <w:rsid w:val="009B35DC"/>
    <w:rsid w:val="009D54C7"/>
    <w:rsid w:val="009E7144"/>
    <w:rsid w:val="009E729B"/>
    <w:rsid w:val="009F31FD"/>
    <w:rsid w:val="009F52C8"/>
    <w:rsid w:val="00A06A78"/>
    <w:rsid w:val="00A070DB"/>
    <w:rsid w:val="00A11D93"/>
    <w:rsid w:val="00A2364B"/>
    <w:rsid w:val="00A36630"/>
    <w:rsid w:val="00A44651"/>
    <w:rsid w:val="00A45C59"/>
    <w:rsid w:val="00A61766"/>
    <w:rsid w:val="00A62D17"/>
    <w:rsid w:val="00A645B5"/>
    <w:rsid w:val="00A66019"/>
    <w:rsid w:val="00A706BD"/>
    <w:rsid w:val="00A87D05"/>
    <w:rsid w:val="00AA3B28"/>
    <w:rsid w:val="00AA7F29"/>
    <w:rsid w:val="00AB46AB"/>
    <w:rsid w:val="00AC7339"/>
    <w:rsid w:val="00AD4651"/>
    <w:rsid w:val="00AD5FE4"/>
    <w:rsid w:val="00B20E9D"/>
    <w:rsid w:val="00B25939"/>
    <w:rsid w:val="00B26E78"/>
    <w:rsid w:val="00B444FA"/>
    <w:rsid w:val="00B52E40"/>
    <w:rsid w:val="00B8328B"/>
    <w:rsid w:val="00B84074"/>
    <w:rsid w:val="00BB7844"/>
    <w:rsid w:val="00BC569E"/>
    <w:rsid w:val="00BE3B4F"/>
    <w:rsid w:val="00BE41C2"/>
    <w:rsid w:val="00BE7696"/>
    <w:rsid w:val="00BF0E78"/>
    <w:rsid w:val="00BF77A8"/>
    <w:rsid w:val="00C35D84"/>
    <w:rsid w:val="00C36C47"/>
    <w:rsid w:val="00C45AE0"/>
    <w:rsid w:val="00C66F29"/>
    <w:rsid w:val="00C866AB"/>
    <w:rsid w:val="00CA7D17"/>
    <w:rsid w:val="00CB3866"/>
    <w:rsid w:val="00CB6DBA"/>
    <w:rsid w:val="00CD7061"/>
    <w:rsid w:val="00CE2E0F"/>
    <w:rsid w:val="00CE50D9"/>
    <w:rsid w:val="00CE697D"/>
    <w:rsid w:val="00D1064C"/>
    <w:rsid w:val="00D16DAF"/>
    <w:rsid w:val="00D215AF"/>
    <w:rsid w:val="00D2278F"/>
    <w:rsid w:val="00D27162"/>
    <w:rsid w:val="00D445DC"/>
    <w:rsid w:val="00D579AC"/>
    <w:rsid w:val="00D633CB"/>
    <w:rsid w:val="00D80D35"/>
    <w:rsid w:val="00D9303B"/>
    <w:rsid w:val="00DC0734"/>
    <w:rsid w:val="00DC0CC5"/>
    <w:rsid w:val="00DD1288"/>
    <w:rsid w:val="00DD2D08"/>
    <w:rsid w:val="00DE6D61"/>
    <w:rsid w:val="00E06FE7"/>
    <w:rsid w:val="00E106DB"/>
    <w:rsid w:val="00E1522D"/>
    <w:rsid w:val="00E20EB4"/>
    <w:rsid w:val="00E80855"/>
    <w:rsid w:val="00E844EC"/>
    <w:rsid w:val="00EC58B8"/>
    <w:rsid w:val="00EC7EFB"/>
    <w:rsid w:val="00ED7268"/>
    <w:rsid w:val="00EE0F80"/>
    <w:rsid w:val="00EE4440"/>
    <w:rsid w:val="00F236A8"/>
    <w:rsid w:val="00F3449D"/>
    <w:rsid w:val="00F46EEB"/>
    <w:rsid w:val="00F50F66"/>
    <w:rsid w:val="00F51519"/>
    <w:rsid w:val="00F57D22"/>
    <w:rsid w:val="00F74D96"/>
    <w:rsid w:val="00FA3DC7"/>
    <w:rsid w:val="00FD2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5F0721"/>
  <w15:docId w15:val="{3B807F7B-D0D7-4F51-9E91-D114FC33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0734"/>
    <w:rPr>
      <w:color w:val="0000FF" w:themeColor="hyperlink"/>
      <w:u w:val="single"/>
    </w:rPr>
  </w:style>
  <w:style w:type="paragraph" w:customStyle="1" w:styleId="Default">
    <w:name w:val="Default"/>
    <w:rsid w:val="005262EA"/>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3D2C45"/>
    <w:pPr>
      <w:spacing w:after="0" w:line="240" w:lineRule="auto"/>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027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7FC"/>
    <w:rPr>
      <w:rFonts w:ascii="Tahoma" w:hAnsi="Tahoma" w:cs="Tahoma"/>
      <w:sz w:val="16"/>
      <w:szCs w:val="16"/>
    </w:rPr>
  </w:style>
  <w:style w:type="paragraph" w:styleId="Header">
    <w:name w:val="header"/>
    <w:basedOn w:val="Normal"/>
    <w:link w:val="HeaderChar"/>
    <w:uiPriority w:val="99"/>
    <w:unhideWhenUsed/>
    <w:rsid w:val="000D5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C4A"/>
  </w:style>
  <w:style w:type="paragraph" w:styleId="Footer">
    <w:name w:val="footer"/>
    <w:basedOn w:val="Normal"/>
    <w:link w:val="FooterChar"/>
    <w:uiPriority w:val="99"/>
    <w:unhideWhenUsed/>
    <w:rsid w:val="000D5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C4A"/>
  </w:style>
  <w:style w:type="character" w:styleId="CommentReference">
    <w:name w:val="annotation reference"/>
    <w:basedOn w:val="DefaultParagraphFont"/>
    <w:uiPriority w:val="99"/>
    <w:semiHidden/>
    <w:unhideWhenUsed/>
    <w:rsid w:val="0044359D"/>
    <w:rPr>
      <w:sz w:val="18"/>
      <w:szCs w:val="18"/>
    </w:rPr>
  </w:style>
  <w:style w:type="paragraph" w:styleId="CommentText">
    <w:name w:val="annotation text"/>
    <w:basedOn w:val="Normal"/>
    <w:link w:val="CommentTextChar"/>
    <w:uiPriority w:val="99"/>
    <w:semiHidden/>
    <w:unhideWhenUsed/>
    <w:rsid w:val="0044359D"/>
    <w:pPr>
      <w:spacing w:line="240" w:lineRule="auto"/>
    </w:pPr>
    <w:rPr>
      <w:sz w:val="24"/>
      <w:szCs w:val="24"/>
    </w:rPr>
  </w:style>
  <w:style w:type="character" w:customStyle="1" w:styleId="CommentTextChar">
    <w:name w:val="Comment Text Char"/>
    <w:basedOn w:val="DefaultParagraphFont"/>
    <w:link w:val="CommentText"/>
    <w:uiPriority w:val="99"/>
    <w:semiHidden/>
    <w:rsid w:val="0044359D"/>
    <w:rPr>
      <w:sz w:val="24"/>
      <w:szCs w:val="24"/>
    </w:rPr>
  </w:style>
  <w:style w:type="paragraph" w:styleId="CommentSubject">
    <w:name w:val="annotation subject"/>
    <w:basedOn w:val="CommentText"/>
    <w:next w:val="CommentText"/>
    <w:link w:val="CommentSubjectChar"/>
    <w:uiPriority w:val="99"/>
    <w:semiHidden/>
    <w:unhideWhenUsed/>
    <w:rsid w:val="0044359D"/>
    <w:rPr>
      <w:b/>
      <w:bCs/>
      <w:sz w:val="20"/>
      <w:szCs w:val="20"/>
    </w:rPr>
  </w:style>
  <w:style w:type="character" w:customStyle="1" w:styleId="CommentSubjectChar">
    <w:name w:val="Comment Subject Char"/>
    <w:basedOn w:val="CommentTextChar"/>
    <w:link w:val="CommentSubject"/>
    <w:uiPriority w:val="99"/>
    <w:semiHidden/>
    <w:rsid w:val="004435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49676">
      <w:bodyDiv w:val="1"/>
      <w:marLeft w:val="0"/>
      <w:marRight w:val="0"/>
      <w:marTop w:val="0"/>
      <w:marBottom w:val="0"/>
      <w:divBdr>
        <w:top w:val="none" w:sz="0" w:space="0" w:color="auto"/>
        <w:left w:val="none" w:sz="0" w:space="0" w:color="auto"/>
        <w:bottom w:val="none" w:sz="0" w:space="0" w:color="auto"/>
        <w:right w:val="none" w:sz="0" w:space="0" w:color="auto"/>
      </w:divBdr>
    </w:div>
    <w:div w:id="454175666">
      <w:bodyDiv w:val="1"/>
      <w:marLeft w:val="0"/>
      <w:marRight w:val="0"/>
      <w:marTop w:val="0"/>
      <w:marBottom w:val="0"/>
      <w:divBdr>
        <w:top w:val="none" w:sz="0" w:space="0" w:color="auto"/>
        <w:left w:val="none" w:sz="0" w:space="0" w:color="auto"/>
        <w:bottom w:val="none" w:sz="0" w:space="0" w:color="auto"/>
        <w:right w:val="none" w:sz="0" w:space="0" w:color="auto"/>
      </w:divBdr>
    </w:div>
    <w:div w:id="476923518">
      <w:bodyDiv w:val="1"/>
      <w:marLeft w:val="0"/>
      <w:marRight w:val="0"/>
      <w:marTop w:val="0"/>
      <w:marBottom w:val="0"/>
      <w:divBdr>
        <w:top w:val="none" w:sz="0" w:space="0" w:color="auto"/>
        <w:left w:val="none" w:sz="0" w:space="0" w:color="auto"/>
        <w:bottom w:val="none" w:sz="0" w:space="0" w:color="auto"/>
        <w:right w:val="none" w:sz="0" w:space="0" w:color="auto"/>
      </w:divBdr>
    </w:div>
    <w:div w:id="555161643">
      <w:bodyDiv w:val="1"/>
      <w:marLeft w:val="0"/>
      <w:marRight w:val="0"/>
      <w:marTop w:val="0"/>
      <w:marBottom w:val="0"/>
      <w:divBdr>
        <w:top w:val="none" w:sz="0" w:space="0" w:color="auto"/>
        <w:left w:val="none" w:sz="0" w:space="0" w:color="auto"/>
        <w:bottom w:val="none" w:sz="0" w:space="0" w:color="auto"/>
        <w:right w:val="none" w:sz="0" w:space="0" w:color="auto"/>
      </w:divBdr>
    </w:div>
    <w:div w:id="632441082">
      <w:bodyDiv w:val="1"/>
      <w:marLeft w:val="0"/>
      <w:marRight w:val="0"/>
      <w:marTop w:val="0"/>
      <w:marBottom w:val="0"/>
      <w:divBdr>
        <w:top w:val="none" w:sz="0" w:space="0" w:color="auto"/>
        <w:left w:val="none" w:sz="0" w:space="0" w:color="auto"/>
        <w:bottom w:val="none" w:sz="0" w:space="0" w:color="auto"/>
        <w:right w:val="none" w:sz="0" w:space="0" w:color="auto"/>
      </w:divBdr>
    </w:div>
    <w:div w:id="763499021">
      <w:bodyDiv w:val="1"/>
      <w:marLeft w:val="0"/>
      <w:marRight w:val="0"/>
      <w:marTop w:val="0"/>
      <w:marBottom w:val="0"/>
      <w:divBdr>
        <w:top w:val="none" w:sz="0" w:space="0" w:color="auto"/>
        <w:left w:val="none" w:sz="0" w:space="0" w:color="auto"/>
        <w:bottom w:val="none" w:sz="0" w:space="0" w:color="auto"/>
        <w:right w:val="none" w:sz="0" w:space="0" w:color="auto"/>
      </w:divBdr>
    </w:div>
    <w:div w:id="21177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jchome\WESTCOTT\General%20Education%20Assessment\F%202005-201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jchome\WESTCOTT\General%20Education%20Assessment\F%202005-201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jchome\WESTCOTT\General%20Education%20Assessment\F%202005-201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jchome\WESTCOTT\General%20Education%20Assessment\F%202005-2015.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jchome\WESTCOTT\General%20Education%20Assessment\F%202005-2015.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jcshare\gea\F\Fall%202014%20Survey%20of%20Western%20Art%20Fine%20Arts%20dat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jcshare\gea\F\Fall%202014%20Survey%20of%20Western%20Art%20Fine%20Arts%20data.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100-Level F course enrollment Fall 2005-Spring 2015 by Department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 Fall 2005-Spring 2015'!$G$119</c:f>
              <c:strCache>
                <c:ptCount val="1"/>
                <c:pt idx="0">
                  <c:v>100-Level F course enrollment Fall 2005-Spring 2015</c:v>
                </c:pt>
              </c:strCache>
            </c:strRef>
          </c:tx>
          <c:spPr>
            <a:solidFill>
              <a:schemeClr val="accent1"/>
            </a:solidFill>
            <a:ln>
              <a:noFill/>
            </a:ln>
            <a:effectLst/>
          </c:spPr>
          <c:invertIfNegative val="0"/>
          <c:cat>
            <c:strRef>
              <c:f>'F Fall 2005-Spring 2015'!$F$120:$F$124</c:f>
              <c:strCache>
                <c:ptCount val="5"/>
                <c:pt idx="0">
                  <c:v>AR</c:v>
                </c:pt>
                <c:pt idx="1">
                  <c:v>MS</c:v>
                </c:pt>
                <c:pt idx="2">
                  <c:v>MU</c:v>
                </c:pt>
                <c:pt idx="3">
                  <c:v>PC</c:v>
                </c:pt>
                <c:pt idx="4">
                  <c:v>TH</c:v>
                </c:pt>
              </c:strCache>
            </c:strRef>
          </c:cat>
          <c:val>
            <c:numRef>
              <c:f>'F Fall 2005-Spring 2015'!$G$120:$G$124</c:f>
              <c:numCache>
                <c:formatCode>General</c:formatCode>
                <c:ptCount val="5"/>
                <c:pt idx="0">
                  <c:v>2801</c:v>
                </c:pt>
                <c:pt idx="1">
                  <c:v>816</c:v>
                </c:pt>
                <c:pt idx="2">
                  <c:v>6173</c:v>
                </c:pt>
                <c:pt idx="3">
                  <c:v>51</c:v>
                </c:pt>
                <c:pt idx="4">
                  <c:v>436</c:v>
                </c:pt>
              </c:numCache>
            </c:numRef>
          </c:val>
        </c:ser>
        <c:dLbls>
          <c:showLegendKey val="0"/>
          <c:showVal val="0"/>
          <c:showCatName val="0"/>
          <c:showSerName val="0"/>
          <c:showPercent val="0"/>
          <c:showBubbleSize val="0"/>
        </c:dLbls>
        <c:gapWidth val="219"/>
        <c:overlap val="-27"/>
        <c:axId val="254419496"/>
        <c:axId val="254419880"/>
      </c:barChart>
      <c:catAx>
        <c:axId val="254419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4419880"/>
        <c:crosses val="autoZero"/>
        <c:auto val="1"/>
        <c:lblAlgn val="ctr"/>
        <c:lblOffset val="100"/>
        <c:noMultiLvlLbl val="0"/>
      </c:catAx>
      <c:valAx>
        <c:axId val="254419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4419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100-Level F course enrollment Fall 2012-Spring 2015 by Department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 Fall 2012-Spring 2015'!$I$9</c:f>
              <c:strCache>
                <c:ptCount val="1"/>
                <c:pt idx="0">
                  <c:v>100-Level F course enrollment Fall 2012-Spring 2015</c:v>
                </c:pt>
              </c:strCache>
            </c:strRef>
          </c:tx>
          <c:spPr>
            <a:solidFill>
              <a:schemeClr val="accent1"/>
            </a:solidFill>
            <a:ln>
              <a:noFill/>
            </a:ln>
            <a:effectLst/>
          </c:spPr>
          <c:invertIfNegative val="0"/>
          <c:cat>
            <c:strRef>
              <c:f>'F Fall 2012-Spring 2015'!$H$10:$H$14</c:f>
              <c:strCache>
                <c:ptCount val="5"/>
                <c:pt idx="0">
                  <c:v>AR</c:v>
                </c:pt>
                <c:pt idx="1">
                  <c:v>MS</c:v>
                </c:pt>
                <c:pt idx="2">
                  <c:v>MU</c:v>
                </c:pt>
                <c:pt idx="3">
                  <c:v>PC</c:v>
                </c:pt>
                <c:pt idx="4">
                  <c:v>TH</c:v>
                </c:pt>
              </c:strCache>
            </c:strRef>
          </c:cat>
          <c:val>
            <c:numRef>
              <c:f>'F Fall 2012-Spring 2015'!$I$10:$I$14</c:f>
              <c:numCache>
                <c:formatCode>General</c:formatCode>
                <c:ptCount val="5"/>
                <c:pt idx="0">
                  <c:v>838</c:v>
                </c:pt>
                <c:pt idx="1">
                  <c:v>186</c:v>
                </c:pt>
                <c:pt idx="2">
                  <c:v>1890</c:v>
                </c:pt>
                <c:pt idx="3">
                  <c:v>6</c:v>
                </c:pt>
                <c:pt idx="4">
                  <c:v>206</c:v>
                </c:pt>
              </c:numCache>
            </c:numRef>
          </c:val>
        </c:ser>
        <c:dLbls>
          <c:showLegendKey val="0"/>
          <c:showVal val="0"/>
          <c:showCatName val="0"/>
          <c:showSerName val="0"/>
          <c:showPercent val="0"/>
          <c:showBubbleSize val="0"/>
        </c:dLbls>
        <c:gapWidth val="219"/>
        <c:overlap val="-27"/>
        <c:axId val="255267464"/>
        <c:axId val="254421696"/>
      </c:barChart>
      <c:catAx>
        <c:axId val="255267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4421696"/>
        <c:crosses val="autoZero"/>
        <c:auto val="1"/>
        <c:lblAlgn val="ctr"/>
        <c:lblOffset val="100"/>
        <c:noMultiLvlLbl val="0"/>
      </c:catAx>
      <c:valAx>
        <c:axId val="254421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267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 Fall 2005-Spring 2015'!$I$58</c:f>
              <c:strCache>
                <c:ptCount val="1"/>
                <c:pt idx="0">
                  <c:v>Five Largest Enrolled F courses Fall 2005-Spring 2015</c:v>
                </c:pt>
              </c:strCache>
            </c:strRef>
          </c:tx>
          <c:spPr>
            <a:solidFill>
              <a:schemeClr val="accent1"/>
            </a:solidFill>
            <a:ln>
              <a:noFill/>
            </a:ln>
            <a:effectLst/>
          </c:spPr>
          <c:invertIfNegative val="0"/>
          <c:cat>
            <c:strRef>
              <c:f>'F Fall 2005-Spring 2015'!$H$59:$H$64</c:f>
              <c:strCache>
                <c:ptCount val="6"/>
                <c:pt idx="0">
                  <c:v>MU-Instrumental</c:v>
                </c:pt>
                <c:pt idx="1">
                  <c:v>Survey of Western Art AR-110</c:v>
                </c:pt>
                <c:pt idx="2">
                  <c:v>Music Fundamentals MS-101 </c:v>
                </c:pt>
                <c:pt idx="3">
                  <c:v>Beginning Drawing AR-103</c:v>
                </c:pt>
                <c:pt idx="4">
                  <c:v>Theatre Arts Practicum TH-180</c:v>
                </c:pt>
                <c:pt idx="5">
                  <c:v>Survey of Western Music MS-110</c:v>
                </c:pt>
              </c:strCache>
            </c:strRef>
          </c:cat>
          <c:val>
            <c:numRef>
              <c:f>'F Fall 2005-Spring 2015'!$I$59:$I$64</c:f>
              <c:numCache>
                <c:formatCode>General</c:formatCode>
                <c:ptCount val="6"/>
                <c:pt idx="0">
                  <c:v>6173</c:v>
                </c:pt>
                <c:pt idx="1">
                  <c:v>2227</c:v>
                </c:pt>
                <c:pt idx="2">
                  <c:v>355</c:v>
                </c:pt>
                <c:pt idx="3">
                  <c:v>235</c:v>
                </c:pt>
                <c:pt idx="4">
                  <c:v>219</c:v>
                </c:pt>
                <c:pt idx="5">
                  <c:v>218</c:v>
                </c:pt>
              </c:numCache>
            </c:numRef>
          </c:val>
        </c:ser>
        <c:dLbls>
          <c:showLegendKey val="0"/>
          <c:showVal val="0"/>
          <c:showCatName val="0"/>
          <c:showSerName val="0"/>
          <c:showPercent val="0"/>
          <c:showBubbleSize val="0"/>
        </c:dLbls>
        <c:gapWidth val="219"/>
        <c:overlap val="-27"/>
        <c:axId val="255330032"/>
        <c:axId val="255325800"/>
      </c:barChart>
      <c:catAx>
        <c:axId val="255330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325800"/>
        <c:crosses val="autoZero"/>
        <c:auto val="1"/>
        <c:lblAlgn val="ctr"/>
        <c:lblOffset val="100"/>
        <c:noMultiLvlLbl val="0"/>
      </c:catAx>
      <c:valAx>
        <c:axId val="255325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330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Five Largest Enrolled F courses Fall 2012-Spring 2015</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 Fall 2005-Spring 2015'!$I$58</c:f>
              <c:strCache>
                <c:ptCount val="1"/>
                <c:pt idx="0">
                  <c:v>Five Largest Enrolled F courses Fall 2005-Spring 2015</c:v>
                </c:pt>
              </c:strCache>
            </c:strRef>
          </c:tx>
          <c:spPr>
            <a:solidFill>
              <a:schemeClr val="accent1"/>
            </a:solidFill>
            <a:ln>
              <a:noFill/>
            </a:ln>
            <a:effectLst/>
          </c:spPr>
          <c:invertIfNegative val="0"/>
          <c:cat>
            <c:strRef>
              <c:f>'F Fall 2005-Spring 2015'!$H$59:$H$64</c:f>
              <c:strCache>
                <c:ptCount val="6"/>
                <c:pt idx="0">
                  <c:v>MU-Instrumental</c:v>
                </c:pt>
                <c:pt idx="1">
                  <c:v>Survey of Western Art AR-110</c:v>
                </c:pt>
                <c:pt idx="2">
                  <c:v>Music Fundamentals MS-101 </c:v>
                </c:pt>
                <c:pt idx="3">
                  <c:v>Beginning Drawing AR-103</c:v>
                </c:pt>
                <c:pt idx="4">
                  <c:v>Theatre Arts Practicum TH-180</c:v>
                </c:pt>
                <c:pt idx="5">
                  <c:v>Survey of Western Music MS-110</c:v>
                </c:pt>
              </c:strCache>
            </c:strRef>
          </c:cat>
          <c:val>
            <c:numRef>
              <c:f>'F Fall 2005-Spring 2015'!$I$59:$I$64</c:f>
              <c:numCache>
                <c:formatCode>General</c:formatCode>
                <c:ptCount val="6"/>
                <c:pt idx="0">
                  <c:v>6173</c:v>
                </c:pt>
                <c:pt idx="1">
                  <c:v>2227</c:v>
                </c:pt>
                <c:pt idx="2">
                  <c:v>355</c:v>
                </c:pt>
                <c:pt idx="3">
                  <c:v>235</c:v>
                </c:pt>
                <c:pt idx="4">
                  <c:v>219</c:v>
                </c:pt>
                <c:pt idx="5">
                  <c:v>218</c:v>
                </c:pt>
              </c:numCache>
            </c:numRef>
          </c:val>
        </c:ser>
        <c:dLbls>
          <c:showLegendKey val="0"/>
          <c:showVal val="0"/>
          <c:showCatName val="0"/>
          <c:showSerName val="0"/>
          <c:showPercent val="0"/>
          <c:showBubbleSize val="0"/>
        </c:dLbls>
        <c:gapWidth val="219"/>
        <c:overlap val="-27"/>
        <c:axId val="255028680"/>
        <c:axId val="255026200"/>
      </c:barChart>
      <c:catAx>
        <c:axId val="255028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026200"/>
        <c:crosses val="autoZero"/>
        <c:auto val="1"/>
        <c:lblAlgn val="ctr"/>
        <c:lblOffset val="100"/>
        <c:noMultiLvlLbl val="0"/>
      </c:catAx>
      <c:valAx>
        <c:axId val="255026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028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Instrumental Courses Fall 2012-Spring 2015</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'MS&amp;MU Fall 2012-Spring 2015'!$O$18:$O$28</c:f>
              <c:strCache>
                <c:ptCount val="11"/>
                <c:pt idx="0">
                  <c:v> Choral Union MU-171-01</c:v>
                </c:pt>
                <c:pt idx="1">
                  <c:v>Choral Union MU-172-01</c:v>
                </c:pt>
                <c:pt idx="2">
                  <c:v>Choral Union MU-173-01</c:v>
                </c:pt>
                <c:pt idx="3">
                  <c:v>Piano Studio MU111-E</c:v>
                </c:pt>
                <c:pt idx="4">
                  <c:v>Voice Class 1 MU-131-01</c:v>
                </c:pt>
                <c:pt idx="5">
                  <c:v>Guitar Class 1 MU-113-02</c:v>
                </c:pt>
                <c:pt idx="6">
                  <c:v>Concert Choir MU-181-01</c:v>
                </c:pt>
                <c:pt idx="7">
                  <c:v>Concert Band MU-133-01</c:v>
                </c:pt>
                <c:pt idx="8">
                  <c:v>Concert Choir MU-182-01</c:v>
                </c:pt>
                <c:pt idx="9">
                  <c:v>Concert Band MU-135-01</c:v>
                </c:pt>
                <c:pt idx="10">
                  <c:v>Choral Union MU-174-01</c:v>
                </c:pt>
              </c:strCache>
            </c:strRef>
          </c:cat>
          <c:val>
            <c:numRef>
              <c:f>'MS&amp;MU Fall 2012-Spring 2015'!$P$18:$P$28</c:f>
              <c:numCache>
                <c:formatCode>General</c:formatCode>
                <c:ptCount val="11"/>
                <c:pt idx="0">
                  <c:v>167</c:v>
                </c:pt>
                <c:pt idx="1">
                  <c:v>116</c:v>
                </c:pt>
                <c:pt idx="2">
                  <c:v>83</c:v>
                </c:pt>
                <c:pt idx="3">
                  <c:v>67</c:v>
                </c:pt>
                <c:pt idx="4">
                  <c:v>65</c:v>
                </c:pt>
                <c:pt idx="5">
                  <c:v>62</c:v>
                </c:pt>
                <c:pt idx="6">
                  <c:v>61</c:v>
                </c:pt>
                <c:pt idx="7">
                  <c:v>60</c:v>
                </c:pt>
                <c:pt idx="8">
                  <c:v>58</c:v>
                </c:pt>
                <c:pt idx="9">
                  <c:v>55</c:v>
                </c:pt>
                <c:pt idx="10">
                  <c:v>54</c:v>
                </c:pt>
              </c:numCache>
            </c:numRef>
          </c:val>
        </c:ser>
        <c:dLbls>
          <c:showLegendKey val="0"/>
          <c:showVal val="0"/>
          <c:showCatName val="0"/>
          <c:showSerName val="0"/>
          <c:showPercent val="0"/>
          <c:showBubbleSize val="0"/>
        </c:dLbls>
        <c:gapWidth val="219"/>
        <c:overlap val="-27"/>
        <c:axId val="255908032"/>
        <c:axId val="255914232"/>
      </c:barChart>
      <c:catAx>
        <c:axId val="255908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914232"/>
        <c:crosses val="autoZero"/>
        <c:auto val="1"/>
        <c:lblAlgn val="ctr"/>
        <c:lblOffset val="100"/>
        <c:noMultiLvlLbl val="0"/>
      </c:catAx>
      <c:valAx>
        <c:axId val="255914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908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Pre-Post Number Incorrect by Question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Sheet2!$B$1</c:f>
              <c:strCache>
                <c:ptCount val="1"/>
                <c:pt idx="0">
                  <c:v>PRE </c:v>
                </c:pt>
              </c:strCache>
            </c:strRef>
          </c:tx>
          <c:spPr>
            <a:solidFill>
              <a:schemeClr val="accent1"/>
            </a:solidFill>
            <a:ln>
              <a:noFill/>
            </a:ln>
            <a:effectLst/>
          </c:spPr>
          <c:invertIfNegative val="0"/>
          <c:cat>
            <c:strRef>
              <c:f>Sheet2!$A$2:$A$21</c:f>
              <c:strCache>
                <c:ptCount val="20"/>
                <c:pt idx="0">
                  <c:v> 1  ART</c:v>
                </c:pt>
                <c:pt idx="1">
                  <c:v> 2 VOCAB/STYLE</c:v>
                </c:pt>
                <c:pt idx="2">
                  <c:v> 3 VOCAB</c:v>
                </c:pt>
                <c:pt idx="3">
                  <c:v>4 STYLE</c:v>
                </c:pt>
                <c:pt idx="4">
                  <c:v> 5 VOCAB</c:v>
                </c:pt>
                <c:pt idx="5">
                  <c:v> 6 PEOPLE</c:v>
                </c:pt>
                <c:pt idx="6">
                  <c:v>7 STYLE</c:v>
                </c:pt>
                <c:pt idx="7">
                  <c:v> 8 STYLE</c:v>
                </c:pt>
                <c:pt idx="8">
                  <c:v> 9 PEOPLE</c:v>
                </c:pt>
                <c:pt idx="9">
                  <c:v> 10 VOCAB</c:v>
                </c:pt>
                <c:pt idx="10">
                  <c:v> 11 VOCAB</c:v>
                </c:pt>
                <c:pt idx="11">
                  <c:v> 12 STYLE</c:v>
                </c:pt>
                <c:pt idx="12">
                  <c:v>13 VOCAB</c:v>
                </c:pt>
                <c:pt idx="13">
                  <c:v> 14 STYLE/VOCAB</c:v>
                </c:pt>
                <c:pt idx="14">
                  <c:v> 15 ARTIST</c:v>
                </c:pt>
                <c:pt idx="15">
                  <c:v> 16 STYLE</c:v>
                </c:pt>
                <c:pt idx="16">
                  <c:v> 17 PEOPLE</c:v>
                </c:pt>
                <c:pt idx="17">
                  <c:v>18 PEOPLE/ARTIST</c:v>
                </c:pt>
                <c:pt idx="18">
                  <c:v> 19 ART/VOCAB</c:v>
                </c:pt>
                <c:pt idx="19">
                  <c:v>20 STYLE</c:v>
                </c:pt>
              </c:strCache>
            </c:strRef>
          </c:cat>
          <c:val>
            <c:numRef>
              <c:f>Sheet2!$B$2:$B$21</c:f>
              <c:numCache>
                <c:formatCode>General</c:formatCode>
                <c:ptCount val="20"/>
                <c:pt idx="0">
                  <c:v>11</c:v>
                </c:pt>
                <c:pt idx="1">
                  <c:v>55</c:v>
                </c:pt>
                <c:pt idx="2">
                  <c:v>28</c:v>
                </c:pt>
                <c:pt idx="3">
                  <c:v>38</c:v>
                </c:pt>
                <c:pt idx="4">
                  <c:v>41</c:v>
                </c:pt>
                <c:pt idx="5">
                  <c:v>39</c:v>
                </c:pt>
                <c:pt idx="6">
                  <c:v>42</c:v>
                </c:pt>
                <c:pt idx="7">
                  <c:v>47</c:v>
                </c:pt>
                <c:pt idx="8">
                  <c:v>44</c:v>
                </c:pt>
                <c:pt idx="9">
                  <c:v>39</c:v>
                </c:pt>
                <c:pt idx="10">
                  <c:v>48</c:v>
                </c:pt>
                <c:pt idx="11">
                  <c:v>42</c:v>
                </c:pt>
                <c:pt idx="12">
                  <c:v>43</c:v>
                </c:pt>
                <c:pt idx="13">
                  <c:v>31</c:v>
                </c:pt>
                <c:pt idx="14">
                  <c:v>51</c:v>
                </c:pt>
                <c:pt idx="15">
                  <c:v>55</c:v>
                </c:pt>
                <c:pt idx="16">
                  <c:v>23</c:v>
                </c:pt>
                <c:pt idx="17">
                  <c:v>54</c:v>
                </c:pt>
                <c:pt idx="18">
                  <c:v>51</c:v>
                </c:pt>
                <c:pt idx="19">
                  <c:v>46</c:v>
                </c:pt>
              </c:numCache>
            </c:numRef>
          </c:val>
        </c:ser>
        <c:ser>
          <c:idx val="1"/>
          <c:order val="1"/>
          <c:tx>
            <c:strRef>
              <c:f>Sheet2!$C$1</c:f>
              <c:strCache>
                <c:ptCount val="1"/>
                <c:pt idx="0">
                  <c:v>Post</c:v>
                </c:pt>
              </c:strCache>
            </c:strRef>
          </c:tx>
          <c:spPr>
            <a:solidFill>
              <a:schemeClr val="accent2"/>
            </a:solidFill>
            <a:ln>
              <a:noFill/>
            </a:ln>
            <a:effectLst/>
          </c:spPr>
          <c:invertIfNegative val="0"/>
          <c:cat>
            <c:strRef>
              <c:f>Sheet2!$A$2:$A$21</c:f>
              <c:strCache>
                <c:ptCount val="20"/>
                <c:pt idx="0">
                  <c:v> 1  ART</c:v>
                </c:pt>
                <c:pt idx="1">
                  <c:v> 2 VOCAB/STYLE</c:v>
                </c:pt>
                <c:pt idx="2">
                  <c:v> 3 VOCAB</c:v>
                </c:pt>
                <c:pt idx="3">
                  <c:v>4 STYLE</c:v>
                </c:pt>
                <c:pt idx="4">
                  <c:v> 5 VOCAB</c:v>
                </c:pt>
                <c:pt idx="5">
                  <c:v> 6 PEOPLE</c:v>
                </c:pt>
                <c:pt idx="6">
                  <c:v>7 STYLE</c:v>
                </c:pt>
                <c:pt idx="7">
                  <c:v> 8 STYLE</c:v>
                </c:pt>
                <c:pt idx="8">
                  <c:v> 9 PEOPLE</c:v>
                </c:pt>
                <c:pt idx="9">
                  <c:v> 10 VOCAB</c:v>
                </c:pt>
                <c:pt idx="10">
                  <c:v> 11 VOCAB</c:v>
                </c:pt>
                <c:pt idx="11">
                  <c:v> 12 STYLE</c:v>
                </c:pt>
                <c:pt idx="12">
                  <c:v>13 VOCAB</c:v>
                </c:pt>
                <c:pt idx="13">
                  <c:v> 14 STYLE/VOCAB</c:v>
                </c:pt>
                <c:pt idx="14">
                  <c:v> 15 ARTIST</c:v>
                </c:pt>
                <c:pt idx="15">
                  <c:v> 16 STYLE</c:v>
                </c:pt>
                <c:pt idx="16">
                  <c:v> 17 PEOPLE</c:v>
                </c:pt>
                <c:pt idx="17">
                  <c:v>18 PEOPLE/ARTIST</c:v>
                </c:pt>
                <c:pt idx="18">
                  <c:v> 19 ART/VOCAB</c:v>
                </c:pt>
                <c:pt idx="19">
                  <c:v>20 STYLE</c:v>
                </c:pt>
              </c:strCache>
            </c:strRef>
          </c:cat>
          <c:val>
            <c:numRef>
              <c:f>Sheet2!$C$2:$C$21</c:f>
              <c:numCache>
                <c:formatCode>General</c:formatCode>
                <c:ptCount val="20"/>
                <c:pt idx="0">
                  <c:v>1</c:v>
                </c:pt>
                <c:pt idx="1">
                  <c:v>31</c:v>
                </c:pt>
                <c:pt idx="2">
                  <c:v>12</c:v>
                </c:pt>
                <c:pt idx="3">
                  <c:v>17</c:v>
                </c:pt>
                <c:pt idx="4">
                  <c:v>6</c:v>
                </c:pt>
                <c:pt idx="5">
                  <c:v>25</c:v>
                </c:pt>
                <c:pt idx="6">
                  <c:v>17</c:v>
                </c:pt>
                <c:pt idx="7">
                  <c:v>30</c:v>
                </c:pt>
                <c:pt idx="8">
                  <c:v>36</c:v>
                </c:pt>
                <c:pt idx="9">
                  <c:v>7</c:v>
                </c:pt>
                <c:pt idx="10">
                  <c:v>11</c:v>
                </c:pt>
                <c:pt idx="11">
                  <c:v>23</c:v>
                </c:pt>
                <c:pt idx="12">
                  <c:v>3</c:v>
                </c:pt>
                <c:pt idx="13">
                  <c:v>11</c:v>
                </c:pt>
                <c:pt idx="14">
                  <c:v>25</c:v>
                </c:pt>
                <c:pt idx="15">
                  <c:v>33</c:v>
                </c:pt>
                <c:pt idx="16">
                  <c:v>14</c:v>
                </c:pt>
                <c:pt idx="17">
                  <c:v>23</c:v>
                </c:pt>
                <c:pt idx="18">
                  <c:v>22</c:v>
                </c:pt>
                <c:pt idx="19">
                  <c:v>31</c:v>
                </c:pt>
              </c:numCache>
            </c:numRef>
          </c:val>
        </c:ser>
        <c:dLbls>
          <c:showLegendKey val="0"/>
          <c:showVal val="0"/>
          <c:showCatName val="0"/>
          <c:showSerName val="0"/>
          <c:showPercent val="0"/>
          <c:showBubbleSize val="0"/>
        </c:dLbls>
        <c:gapWidth val="219"/>
        <c:overlap val="-27"/>
        <c:axId val="253140464"/>
        <c:axId val="253140856"/>
      </c:barChart>
      <c:catAx>
        <c:axId val="253140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3140856"/>
        <c:crosses val="autoZero"/>
        <c:auto val="1"/>
        <c:lblAlgn val="ctr"/>
        <c:lblOffset val="100"/>
        <c:noMultiLvlLbl val="0"/>
      </c:catAx>
      <c:valAx>
        <c:axId val="253140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31404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Percent Correct</a:t>
            </a:r>
            <a:r>
              <a:rPr lang="en-US" baseline="0"/>
              <a:t> Pre to Post</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Sheet2!$B$29:$B$30</c:f>
              <c:strCache>
                <c:ptCount val="2"/>
                <c:pt idx="0">
                  <c:v>% Correct</c:v>
                </c:pt>
                <c:pt idx="1">
                  <c:v>Pre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Sheet2!$A$31:$A$35</c:f>
              <c:strCache>
                <c:ptCount val="5"/>
                <c:pt idx="0">
                  <c:v>Art &amp; Art &amp; Vocab (2 questions)</c:v>
                </c:pt>
                <c:pt idx="1">
                  <c:v>Style &amp; Vocab (2 Questions)</c:v>
                </c:pt>
                <c:pt idx="2">
                  <c:v>Vocab (5 Questions)</c:v>
                </c:pt>
                <c:pt idx="3">
                  <c:v>Style (6 Questions)</c:v>
                </c:pt>
                <c:pt idx="4">
                  <c:v>People/Artist (5 Questions)</c:v>
                </c:pt>
              </c:strCache>
            </c:strRef>
          </c:cat>
          <c:val>
            <c:numRef>
              <c:f>Sheet2!$B$31:$B$35</c:f>
              <c:numCache>
                <c:formatCode>0%</c:formatCode>
                <c:ptCount val="5"/>
                <c:pt idx="0">
                  <c:v>0.54</c:v>
                </c:pt>
                <c:pt idx="1">
                  <c:v>0.36</c:v>
                </c:pt>
                <c:pt idx="2">
                  <c:v>0.41</c:v>
                </c:pt>
                <c:pt idx="3">
                  <c:v>0.33</c:v>
                </c:pt>
                <c:pt idx="4">
                  <c:v>0.43</c:v>
                </c:pt>
              </c:numCache>
            </c:numRef>
          </c:val>
        </c:ser>
        <c:ser>
          <c:idx val="1"/>
          <c:order val="1"/>
          <c:tx>
            <c:strRef>
              <c:f>Sheet2!$C$29:$C$30</c:f>
              <c:strCache>
                <c:ptCount val="2"/>
                <c:pt idx="0">
                  <c:v>% Correct</c:v>
                </c:pt>
                <c:pt idx="1">
                  <c:v>Post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Sheet2!$A$31:$A$35</c:f>
              <c:strCache>
                <c:ptCount val="5"/>
                <c:pt idx="0">
                  <c:v>Art &amp; Art &amp; Vocab (2 questions)</c:v>
                </c:pt>
                <c:pt idx="1">
                  <c:v>Style &amp; Vocab (2 Questions)</c:v>
                </c:pt>
                <c:pt idx="2">
                  <c:v>Vocab (5 Questions)</c:v>
                </c:pt>
                <c:pt idx="3">
                  <c:v>Style (6 Questions)</c:v>
                </c:pt>
                <c:pt idx="4">
                  <c:v>People/Artist (5 Questions)</c:v>
                </c:pt>
              </c:strCache>
            </c:strRef>
          </c:cat>
          <c:val>
            <c:numRef>
              <c:f>Sheet2!$C$31:$C$35</c:f>
              <c:numCache>
                <c:formatCode>0%</c:formatCode>
                <c:ptCount val="5"/>
                <c:pt idx="0">
                  <c:v>0.79</c:v>
                </c:pt>
                <c:pt idx="1">
                  <c:v>0.7</c:v>
                </c:pt>
                <c:pt idx="2">
                  <c:v>0.89</c:v>
                </c:pt>
                <c:pt idx="3">
                  <c:v>0.64</c:v>
                </c:pt>
                <c:pt idx="4">
                  <c:v>0.65</c:v>
                </c:pt>
              </c:numCache>
            </c:numRef>
          </c:val>
        </c:ser>
        <c:dLbls>
          <c:showLegendKey val="0"/>
          <c:showVal val="0"/>
          <c:showCatName val="0"/>
          <c:showSerName val="0"/>
          <c:showPercent val="0"/>
          <c:showBubbleSize val="0"/>
        </c:dLbls>
        <c:gapWidth val="219"/>
        <c:overlap val="-27"/>
        <c:axId val="253141640"/>
        <c:axId val="253142032"/>
      </c:barChart>
      <c:catAx>
        <c:axId val="253141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3142032"/>
        <c:crosses val="autoZero"/>
        <c:auto val="1"/>
        <c:lblAlgn val="ctr"/>
        <c:lblOffset val="100"/>
        <c:noMultiLvlLbl val="0"/>
      </c:catAx>
      <c:valAx>
        <c:axId val="2531420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31416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D2C43-57A9-4411-8788-29290C027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7</Pages>
  <Words>1940</Words>
  <Characters>11059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DRAFT</vt:lpstr>
    </vt:vector>
  </TitlesOfParts>
  <Company/>
  <LinksUpToDate>false</LinksUpToDate>
  <CharactersWithSpaces>12974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Westcott, Kathryn M (WESTCOTT)</dc:creator>
  <cp:lastModifiedBy>Westcott, Kathryn M (WESTCOTT)</cp:lastModifiedBy>
  <cp:revision>46</cp:revision>
  <cp:lastPrinted>2013-11-04T17:02:00Z</cp:lastPrinted>
  <dcterms:created xsi:type="dcterms:W3CDTF">2015-02-24T14:55:00Z</dcterms:created>
  <dcterms:modified xsi:type="dcterms:W3CDTF">2015-06-24T21:32:00Z</dcterms:modified>
</cp:coreProperties>
</file>